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418AB">
      <w:pPr>
        <w:pStyle w:val="12"/>
        <w:rPr>
          <w:lang w:val="zh-CN"/>
        </w:rPr>
      </w:pPr>
    </w:p>
    <w:p w14:paraId="166CB39B">
      <w:pPr>
        <w:rPr>
          <w:lang w:val="zh-CN"/>
        </w:rPr>
      </w:pPr>
    </w:p>
    <w:p w14:paraId="580399D2">
      <w:pPr>
        <w:autoSpaceDE w:val="0"/>
        <w:autoSpaceDN w:val="0"/>
        <w:adjustRightInd w:val="0"/>
        <w:jc w:val="center"/>
        <w:rPr>
          <w:rFonts w:hint="eastAsia" w:ascii="黑体" w:hAnsi="黑体" w:eastAsia="黑体" w:cs="黑体"/>
          <w:color w:val="000000"/>
          <w:sz w:val="52"/>
          <w:szCs w:val="52"/>
          <w:lang w:val="zh-CN"/>
        </w:rPr>
      </w:pPr>
      <w:r>
        <w:rPr>
          <w:rFonts w:hint="eastAsia" w:ascii="黑体" w:hAnsi="黑体" w:eastAsia="黑体" w:cs="黑体"/>
          <w:color w:val="000000"/>
          <w:sz w:val="52"/>
          <w:szCs w:val="52"/>
          <w:lang w:val="zh-CN"/>
        </w:rPr>
        <w:t>涡阳县人民医院</w:t>
      </w:r>
    </w:p>
    <w:p w14:paraId="3299E0B6">
      <w:pPr>
        <w:pStyle w:val="12"/>
        <w:jc w:val="center"/>
        <w:rPr>
          <w:rFonts w:hint="eastAsia" w:ascii="黑体" w:hAnsi="黑体" w:eastAsia="黑体" w:cs="黑体"/>
        </w:rPr>
      </w:pPr>
      <w:r>
        <w:rPr>
          <w:rFonts w:hint="eastAsia" w:ascii="黑体" w:hAnsi="黑体" w:eastAsia="黑体" w:cs="黑体"/>
          <w:lang w:val="en-US" w:eastAsia="zh-CN"/>
        </w:rPr>
        <w:t>防统方管理系统软件</w:t>
      </w:r>
    </w:p>
    <w:p w14:paraId="0329B279">
      <w:pPr>
        <w:ind w:firstLine="640"/>
        <w:rPr>
          <w:rFonts w:ascii="仿宋_GB2312" w:eastAsia="仿宋_GB2312"/>
          <w:sz w:val="32"/>
          <w:szCs w:val="36"/>
        </w:rPr>
      </w:pPr>
    </w:p>
    <w:p w14:paraId="69185BC0">
      <w:pPr>
        <w:pStyle w:val="12"/>
      </w:pPr>
    </w:p>
    <w:p w14:paraId="085AD877">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4A05015">
      <w:pPr>
        <w:jc w:val="center"/>
        <w:rPr>
          <w:rFonts w:ascii="宋体" w:hAnsi="宋体"/>
          <w:b/>
          <w:color w:val="000000"/>
          <w:sz w:val="28"/>
          <w:szCs w:val="28"/>
        </w:rPr>
      </w:pPr>
    </w:p>
    <w:p w14:paraId="79483663">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83</w:t>
      </w:r>
      <w:r>
        <w:rPr>
          <w:rFonts w:hint="eastAsia" w:ascii="宋体" w:hAnsi="宋体"/>
          <w:b/>
          <w:color w:val="000000"/>
          <w:sz w:val="28"/>
          <w:szCs w:val="28"/>
        </w:rPr>
        <w:t>号</w:t>
      </w:r>
    </w:p>
    <w:p w14:paraId="4E5ADA57">
      <w:pPr>
        <w:jc w:val="center"/>
        <w:rPr>
          <w:rFonts w:ascii="仿宋_GB2312" w:eastAsia="仿宋_GB2312"/>
          <w:sz w:val="32"/>
          <w:szCs w:val="36"/>
        </w:rPr>
      </w:pPr>
    </w:p>
    <w:p w14:paraId="5599C4C0">
      <w:pPr>
        <w:ind w:firstLine="640"/>
        <w:rPr>
          <w:rFonts w:ascii="仿宋_GB2312" w:eastAsia="仿宋_GB2312"/>
          <w:sz w:val="32"/>
          <w:szCs w:val="36"/>
        </w:rPr>
      </w:pPr>
    </w:p>
    <w:p w14:paraId="689CADAC">
      <w:pPr>
        <w:pStyle w:val="7"/>
        <w:ind w:firstLine="640"/>
        <w:rPr>
          <w:rFonts w:ascii="仿宋_GB2312" w:eastAsia="仿宋_GB2312"/>
          <w:szCs w:val="36"/>
        </w:rPr>
      </w:pPr>
    </w:p>
    <w:p w14:paraId="69E9A51B">
      <w:pPr>
        <w:pStyle w:val="7"/>
        <w:ind w:firstLine="640"/>
        <w:rPr>
          <w:rFonts w:ascii="仿宋_GB2312" w:eastAsia="仿宋_GB2312"/>
          <w:szCs w:val="36"/>
        </w:rPr>
      </w:pPr>
    </w:p>
    <w:p w14:paraId="62937A5A">
      <w:pPr>
        <w:pStyle w:val="7"/>
        <w:ind w:firstLine="640"/>
        <w:rPr>
          <w:rFonts w:ascii="仿宋_GB2312" w:eastAsia="仿宋_GB2312"/>
          <w:szCs w:val="36"/>
        </w:rPr>
      </w:pPr>
    </w:p>
    <w:p w14:paraId="49CD4BCD">
      <w:pPr>
        <w:pStyle w:val="7"/>
        <w:ind w:firstLine="640"/>
        <w:rPr>
          <w:rFonts w:ascii="仿宋_GB2312" w:eastAsia="仿宋_GB2312"/>
          <w:szCs w:val="36"/>
        </w:rPr>
      </w:pPr>
    </w:p>
    <w:p w14:paraId="4B9190A0">
      <w:pPr>
        <w:pStyle w:val="7"/>
        <w:ind w:firstLine="640"/>
        <w:rPr>
          <w:rFonts w:ascii="仿宋_GB2312" w:eastAsia="仿宋_GB2312"/>
          <w:szCs w:val="36"/>
        </w:rPr>
      </w:pPr>
    </w:p>
    <w:p w14:paraId="7690D794">
      <w:pPr>
        <w:pStyle w:val="7"/>
        <w:ind w:firstLine="640"/>
        <w:rPr>
          <w:rFonts w:ascii="仿宋_GB2312" w:eastAsia="仿宋_GB2312"/>
          <w:szCs w:val="36"/>
        </w:rPr>
      </w:pPr>
    </w:p>
    <w:p w14:paraId="3DD75B85">
      <w:pPr>
        <w:pStyle w:val="7"/>
        <w:ind w:firstLine="640"/>
        <w:rPr>
          <w:rFonts w:ascii="仿宋_GB2312" w:eastAsia="仿宋_GB2312"/>
          <w:szCs w:val="36"/>
        </w:rPr>
      </w:pPr>
    </w:p>
    <w:p w14:paraId="1B59E0B7">
      <w:pPr>
        <w:pStyle w:val="7"/>
        <w:ind w:firstLine="640"/>
        <w:rPr>
          <w:rFonts w:ascii="仿宋_GB2312" w:eastAsia="仿宋_GB2312"/>
          <w:szCs w:val="36"/>
        </w:rPr>
      </w:pPr>
    </w:p>
    <w:p w14:paraId="5F2621D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094CD11">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7AC51430">
      <w:pPr>
        <w:pStyle w:val="7"/>
        <w:ind w:firstLine="602"/>
        <w:rPr>
          <w:rFonts w:ascii="宋体" w:hAnsi="宋体" w:cs="宋体"/>
          <w:b/>
          <w:color w:val="000000"/>
          <w:sz w:val="30"/>
          <w:szCs w:val="30"/>
        </w:rPr>
      </w:pPr>
    </w:p>
    <w:p w14:paraId="56E97979">
      <w:pPr>
        <w:pStyle w:val="7"/>
        <w:ind w:firstLine="602"/>
        <w:rPr>
          <w:rFonts w:ascii="宋体" w:hAnsi="宋体" w:cs="宋体"/>
          <w:b/>
          <w:color w:val="000000"/>
          <w:sz w:val="30"/>
          <w:szCs w:val="30"/>
        </w:rPr>
      </w:pPr>
    </w:p>
    <w:p w14:paraId="21E317E6"/>
    <w:p w14:paraId="47E72264">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rPr>
        <w:t>涡阳县人民医院</w:t>
      </w:r>
      <w:r>
        <w:rPr>
          <w:rFonts w:hint="eastAsia" w:ascii="黑体" w:hAnsi="黑体" w:eastAsia="黑体" w:cs="黑体"/>
          <w:b/>
          <w:bCs/>
          <w:sz w:val="36"/>
          <w:szCs w:val="36"/>
          <w:lang w:eastAsia="zh-CN"/>
        </w:rPr>
        <w:t xml:space="preserve"> 防统方管理系统软件</w:t>
      </w:r>
    </w:p>
    <w:p w14:paraId="0893B15B">
      <w:pPr>
        <w:pStyle w:val="13"/>
        <w:widowControl/>
        <w:spacing w:beforeAutospacing="0" w:afterAutospacing="0" w:line="400" w:lineRule="exact"/>
        <w:ind w:firstLine="643" w:firstLineChars="200"/>
        <w:rPr>
          <w:rFonts w:ascii="宋体" w:hAnsi="宋体" w:eastAsia="宋体" w:cs="等线"/>
          <w:b/>
          <w:bCs/>
          <w:sz w:val="32"/>
          <w:szCs w:val="32"/>
        </w:rPr>
      </w:pPr>
    </w:p>
    <w:p w14:paraId="31B2E01A">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EC3E2A5">
      <w:pPr>
        <w:pStyle w:val="29"/>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 xml:space="preserve"> 防统方管理系统软件</w:t>
      </w:r>
    </w:p>
    <w:p w14:paraId="5DC34753">
      <w:pPr>
        <w:pStyle w:val="13"/>
        <w:widowControl/>
        <w:spacing w:beforeAutospacing="0" w:afterAutospacing="0" w:line="400" w:lineRule="exact"/>
        <w:ind w:firstLine="480" w:firstLineChars="200"/>
        <w:rPr>
          <w:rFonts w:hint="default" w:ascii="宋体" w:hAnsi="宋体" w:eastAsia="宋体" w:cs="等线"/>
          <w:szCs w:val="32"/>
          <w:lang w:val="en-US"/>
        </w:rPr>
      </w:pPr>
      <w:r>
        <w:rPr>
          <w:rFonts w:hint="eastAsia" w:ascii="宋体" w:hAnsi="宋体" w:eastAsia="宋体" w:cs="等线"/>
          <w:szCs w:val="32"/>
        </w:rPr>
        <w:t>2、招标编号：GYZC-2024-0</w:t>
      </w:r>
      <w:r>
        <w:rPr>
          <w:rFonts w:hint="eastAsia" w:ascii="宋体" w:hAnsi="宋体" w:eastAsia="宋体" w:cs="等线"/>
          <w:szCs w:val="32"/>
          <w:lang w:val="en-US" w:eastAsia="zh-CN"/>
        </w:rPr>
        <w:t>83号</w:t>
      </w:r>
    </w:p>
    <w:p w14:paraId="1FCB34E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F59CF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120000</w:t>
      </w:r>
      <w:r>
        <w:rPr>
          <w:rFonts w:hint="eastAsia" w:ascii="宋体" w:hAnsi="宋体" w:eastAsia="宋体" w:cs="等线"/>
          <w:b/>
          <w:bCs/>
          <w:szCs w:val="32"/>
        </w:rPr>
        <w:t>元</w:t>
      </w:r>
    </w:p>
    <w:p w14:paraId="05ED75C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120000</w:t>
      </w:r>
      <w:r>
        <w:rPr>
          <w:rFonts w:hint="eastAsia" w:ascii="宋体" w:hAnsi="宋体" w:eastAsia="宋体" w:cs="等线"/>
          <w:b/>
          <w:bCs/>
          <w:szCs w:val="32"/>
        </w:rPr>
        <w:t>元</w:t>
      </w:r>
    </w:p>
    <w:p w14:paraId="29C65F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DE30A4A">
      <w:pPr>
        <w:pStyle w:val="29"/>
        <w:spacing w:line="400" w:lineRule="exact"/>
        <w:ind w:firstLine="480"/>
        <w:rPr>
          <w:rFonts w:hint="eastAsia" w:ascii="宋体" w:hAnsi="宋体" w:eastAsia="宋体" w:cs="等线"/>
          <w:sz w:val="24"/>
          <w:szCs w:val="32"/>
          <w:lang w:eastAsia="zh-CN"/>
        </w:rPr>
      </w:pPr>
      <w:r>
        <w:rPr>
          <w:rFonts w:hint="eastAsia" w:ascii="宋体" w:hAnsi="宋体" w:eastAsia="宋体" w:cs="等线"/>
          <w:sz w:val="24"/>
          <w:szCs w:val="32"/>
        </w:rPr>
        <w:t>7、招标范围：</w:t>
      </w:r>
      <w:r>
        <w:rPr>
          <w:rFonts w:hint="eastAsia" w:ascii="宋体" w:hAnsi="宋体" w:eastAsia="宋体" w:cs="等线"/>
          <w:sz w:val="24"/>
          <w:szCs w:val="32"/>
          <w:lang w:val="en-US" w:eastAsia="zh-CN"/>
        </w:rPr>
        <w:t>医院</w:t>
      </w:r>
      <w:r>
        <w:rPr>
          <w:rFonts w:hint="eastAsia" w:ascii="宋体" w:hAnsi="宋体" w:eastAsia="宋体" w:cs="等线"/>
          <w:sz w:val="24"/>
          <w:szCs w:val="32"/>
          <w:lang w:eastAsia="zh-CN"/>
        </w:rPr>
        <w:t>需购置一套防统方管理软件，解决防统方管理中存在的漏洞，存在的商业统方风险。</w:t>
      </w:r>
    </w:p>
    <w:p w14:paraId="77BA7C5A">
      <w:pPr>
        <w:pStyle w:val="13"/>
        <w:widowControl/>
        <w:spacing w:beforeAutospacing="0" w:afterAutospacing="0" w:line="400" w:lineRule="exact"/>
        <w:ind w:firstLine="480" w:firstLineChars="200"/>
        <w:rPr>
          <w:rFonts w:hint="eastAsia" w:ascii="宋体" w:hAnsi="宋体" w:eastAsia="宋体" w:cs="等线"/>
          <w:kern w:val="2"/>
          <w:sz w:val="24"/>
          <w:szCs w:val="32"/>
          <w:lang w:val="en-US" w:eastAsia="zh-CN" w:bidi="ar-SA"/>
        </w:rPr>
      </w:pPr>
      <w:r>
        <w:rPr>
          <w:rFonts w:hint="eastAsia" w:ascii="宋体" w:hAnsi="宋体" w:eastAsia="宋体" w:cs="等线"/>
          <w:szCs w:val="32"/>
        </w:rPr>
        <w:t>8</w:t>
      </w:r>
      <w:r>
        <w:rPr>
          <w:rFonts w:hint="eastAsia" w:ascii="宋体" w:hAnsi="宋体" w:eastAsia="宋体" w:cs="等线"/>
          <w:kern w:val="2"/>
          <w:sz w:val="24"/>
          <w:szCs w:val="32"/>
          <w:lang w:val="en-US" w:eastAsia="zh-CN" w:bidi="ar-SA"/>
        </w:rPr>
        <w:t>、建设工期：三个月内完成并交付（包含但不限于建设方案、实施文档、软件说明书）。</w:t>
      </w:r>
    </w:p>
    <w:p w14:paraId="5A9FBF95">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3EBDD7B">
      <w:pPr>
        <w:spacing w:line="400" w:lineRule="exact"/>
        <w:ind w:firstLine="480" w:firstLineChars="200"/>
        <w:rPr>
          <w:rFonts w:ascii="宋体" w:hAnsi="宋体" w:eastAsia="宋体" w:cs="等线"/>
          <w:sz w:val="24"/>
          <w:szCs w:val="32"/>
        </w:rPr>
      </w:pPr>
      <w:r>
        <w:rPr>
          <w:rFonts w:ascii="宋体" w:hAnsi="宋体" w:eastAsia="宋体" w:cs="等线"/>
          <w:sz w:val="24"/>
          <w:szCs w:val="32"/>
        </w:rPr>
        <w:t>1、</w:t>
      </w:r>
      <w:r>
        <w:rPr>
          <w:rFonts w:hint="eastAsia" w:ascii="宋体" w:hAnsi="宋体" w:eastAsia="宋体" w:cs="等线"/>
          <w:sz w:val="24"/>
          <w:szCs w:val="32"/>
        </w:rPr>
        <w:t>具有独立的法人资格，能够独立承担民事行为能力</w:t>
      </w:r>
      <w:r>
        <w:rPr>
          <w:rFonts w:ascii="宋体" w:hAnsi="宋体" w:eastAsia="宋体" w:cs="等线"/>
          <w:sz w:val="24"/>
          <w:szCs w:val="32"/>
        </w:rPr>
        <w:t>。</w:t>
      </w:r>
    </w:p>
    <w:p w14:paraId="5584300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50B47670">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5D00643">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48943C53">
      <w:pPr>
        <w:spacing w:line="400" w:lineRule="exact"/>
        <w:ind w:firstLine="480" w:firstLineChars="200"/>
        <w:rPr>
          <w:rFonts w:hint="eastAsia" w:ascii="宋体" w:hAnsi="宋体" w:eastAsia="宋体" w:cs="等线"/>
          <w:color w:val="auto"/>
          <w:sz w:val="24"/>
          <w:szCs w:val="32"/>
          <w:highlight w:val="none"/>
          <w:lang w:val="en-US" w:eastAsia="zh-CN"/>
        </w:rPr>
      </w:pPr>
      <w:r>
        <w:rPr>
          <w:rFonts w:ascii="宋体" w:hAnsi="宋体" w:eastAsia="宋体" w:cs="等线"/>
          <w:color w:val="auto"/>
          <w:sz w:val="24"/>
          <w:szCs w:val="32"/>
          <w:highlight w:val="none"/>
        </w:rPr>
        <w:t>5、本项目的特定资格要求：</w:t>
      </w:r>
      <w:r>
        <w:rPr>
          <w:rFonts w:hint="eastAsia" w:ascii="宋体" w:hAnsi="宋体" w:eastAsia="宋体" w:cs="等线"/>
          <w:color w:val="auto"/>
          <w:sz w:val="24"/>
          <w:szCs w:val="32"/>
          <w:highlight w:val="none"/>
          <w:lang w:val="en-US" w:eastAsia="zh-CN"/>
        </w:rPr>
        <w:t>/</w:t>
      </w:r>
    </w:p>
    <w:p w14:paraId="626FE15B">
      <w:pPr>
        <w:spacing w:line="400" w:lineRule="exact"/>
        <w:ind w:firstLine="480" w:firstLineChars="200"/>
        <w:rPr>
          <w:rFonts w:hint="default" w:ascii="宋体" w:hAnsi="宋体" w:eastAsia="宋体" w:cs="等线"/>
          <w:sz w:val="24"/>
          <w:szCs w:val="32"/>
          <w:lang w:val="en-US" w:eastAsia="zh-CN"/>
        </w:rPr>
      </w:pPr>
      <w:r>
        <w:rPr>
          <w:rFonts w:ascii="宋体" w:hAnsi="宋体" w:eastAsia="宋体" w:cs="等线"/>
          <w:sz w:val="24"/>
          <w:szCs w:val="32"/>
        </w:rPr>
        <w:t>6、本项目不接受联合体投标。</w:t>
      </w:r>
    </w:p>
    <w:p w14:paraId="0482E02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18</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19</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3"/>
        <w:widowControl/>
        <w:spacing w:beforeAutospacing="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045BA1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98D481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AB53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7E34CD50">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信息中心赵</w:t>
      </w:r>
      <w:r>
        <w:rPr>
          <w:rFonts w:hint="eastAsia" w:ascii="宋体" w:hAnsi="宋体" w:eastAsia="宋体"/>
          <w:kern w:val="2"/>
        </w:rPr>
        <w:t>老师：</w:t>
      </w:r>
      <w:r>
        <w:rPr>
          <w:rFonts w:hint="eastAsia" w:ascii="宋体" w:hAnsi="宋体"/>
          <w:sz w:val="24"/>
          <w:szCs w:val="24"/>
        </w:rPr>
        <w:t>135 0567 7477</w:t>
      </w:r>
    </w:p>
    <w:p w14:paraId="6709F9A6">
      <w:pPr>
        <w:pStyle w:val="13"/>
        <w:widowControl/>
        <w:spacing w:beforeAutospacing="0" w:afterAutospacing="0" w:line="400" w:lineRule="exact"/>
        <w:ind w:firstLine="1065"/>
        <w:rPr>
          <w:rFonts w:hint="default" w:ascii="宋体" w:hAnsi="宋体" w:eastAsia="宋体" w:cs="等线"/>
          <w:szCs w:val="32"/>
          <w:highlight w:val="green"/>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highlight w:val="none"/>
          <w:lang w:val="en-US" w:eastAsia="zh-CN"/>
        </w:rPr>
        <w:t>136 5568 3918</w:t>
      </w:r>
    </w:p>
    <w:p w14:paraId="653A3A79">
      <w:pPr>
        <w:pStyle w:val="13"/>
        <w:widowControl/>
        <w:spacing w:beforeAutospacing="0" w:afterAutospacing="0" w:line="400" w:lineRule="exact"/>
        <w:ind w:firstLine="480"/>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0ECEBB9B">
      <w:pPr>
        <w:pStyle w:val="13"/>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01B0E1E1">
      <w:pPr>
        <w:pStyle w:val="12"/>
        <w:rPr>
          <w:rFonts w:hint="eastAsia" w:ascii="黑体" w:hAnsi="黑体" w:eastAsia="黑体" w:cs="黑体"/>
          <w:lang w:val="en-US" w:eastAsia="zh-CN"/>
        </w:rPr>
      </w:pPr>
      <w:r>
        <w:rPr>
          <w:rFonts w:hint="eastAsia" w:ascii="黑体" w:hAnsi="黑体" w:eastAsia="黑体" w:cs="黑体"/>
        </w:rPr>
        <w:t>涡阳县人</w:t>
      </w:r>
      <w:r>
        <w:rPr>
          <w:rFonts w:hint="eastAsia" w:ascii="黑体" w:hAnsi="黑体" w:eastAsia="黑体" w:cs="黑体"/>
          <w:lang w:val="en-US" w:eastAsia="zh-CN"/>
        </w:rPr>
        <w:t>民医院</w:t>
      </w:r>
    </w:p>
    <w:p w14:paraId="56AB43DB">
      <w:pPr>
        <w:pStyle w:val="12"/>
        <w:rPr>
          <w:rFonts w:hint="eastAsia" w:ascii="黑体" w:hAnsi="黑体" w:eastAsia="黑体" w:cs="黑体"/>
          <w:lang w:val="en-US" w:eastAsia="zh-CN"/>
        </w:rPr>
      </w:pPr>
      <w:r>
        <w:rPr>
          <w:rFonts w:hint="eastAsia" w:ascii="黑体" w:hAnsi="黑体" w:eastAsia="黑体" w:cs="黑体"/>
          <w:lang w:val="en-US" w:eastAsia="zh-CN"/>
        </w:rPr>
        <w:t xml:space="preserve"> 防统方系统管理软件</w:t>
      </w:r>
    </w:p>
    <w:p w14:paraId="16926901">
      <w:pPr>
        <w:pStyle w:val="12"/>
        <w:rPr>
          <w:rFonts w:hint="eastAsia" w:ascii="黑体" w:hAnsi="黑体" w:eastAsia="黑体" w:cs="黑体"/>
          <w:lang w:val="en-US" w:eastAsia="zh-CN"/>
        </w:rPr>
      </w:pPr>
      <w:r>
        <w:rPr>
          <w:rFonts w:hint="eastAsia" w:ascii="黑体" w:hAnsi="黑体" w:eastAsia="黑体" w:cs="黑体"/>
          <w:lang w:val="en-US" w:eastAsia="zh-CN"/>
        </w:rPr>
        <w:t>采购需求</w:t>
      </w:r>
    </w:p>
    <w:p w14:paraId="186617BC">
      <w:pPr>
        <w:ind w:firstLine="480"/>
        <w:rPr>
          <w:rFonts w:ascii="宋体" w:hAnsi="宋体"/>
          <w:sz w:val="24"/>
        </w:rPr>
      </w:pPr>
    </w:p>
    <w:p w14:paraId="079ECC99">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716006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44C85055">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赵</w:t>
      </w:r>
      <w:r>
        <w:rPr>
          <w:rFonts w:hint="eastAsia" w:ascii="宋体" w:hAnsi="宋体" w:eastAsia="宋体"/>
          <w:kern w:val="2"/>
          <w:lang w:eastAsia="zh-CN"/>
        </w:rPr>
        <w:t>老师：</w:t>
      </w:r>
      <w:r>
        <w:rPr>
          <w:rFonts w:hint="eastAsia" w:ascii="宋体" w:hAnsi="宋体" w:eastAsia="宋体"/>
          <w:kern w:val="2"/>
        </w:rPr>
        <w:t>135 0567 7477</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4AB1E1F0">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76C11133">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542D837C">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5498D29">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6845D71A">
      <w:pPr>
        <w:pStyle w:val="13"/>
        <w:widowControl/>
        <w:spacing w:beforeAutospacing="0" w:afterAutospacing="0" w:line="400" w:lineRule="exact"/>
        <w:ind w:firstLine="480" w:firstLineChars="200"/>
        <w:rPr>
          <w:rFonts w:hint="eastAsia" w:ascii="宋体" w:hAnsi="宋体" w:eastAsia="宋体"/>
        </w:rPr>
      </w:pPr>
      <w:r>
        <w:rPr>
          <w:rFonts w:hint="eastAsia" w:ascii="宋体" w:hAnsi="宋体" w:eastAsia="宋体"/>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1D718F2F">
      <w:pPr>
        <w:pStyle w:val="13"/>
        <w:widowControl/>
        <w:spacing w:beforeAutospacing="0" w:afterAutospacing="0" w:line="400" w:lineRule="exact"/>
        <w:ind w:firstLine="480" w:firstLineChars="200"/>
        <w:rPr>
          <w:rFonts w:hint="eastAsia" w:ascii="宋体" w:hAnsi="宋体" w:eastAsia="宋体"/>
        </w:rPr>
      </w:pPr>
      <w:r>
        <w:rPr>
          <w:rFonts w:hint="eastAsia" w:ascii="宋体" w:hAnsi="宋体" w:eastAsia="宋体"/>
        </w:rPr>
        <w:t>6.2磋商文件的澄清、修改、补充等将在涡阳县人民医院网站“新闻动态——招投标公告”栏上发布。所有下载竞争性磋商文件的供应商须在网上自行查询，无需以纸质形式回复。</w:t>
      </w:r>
    </w:p>
    <w:p w14:paraId="24D36BC4">
      <w:pPr>
        <w:pStyle w:val="13"/>
        <w:widowControl/>
        <w:spacing w:beforeAutospacing="0" w:afterAutospacing="0" w:line="400" w:lineRule="exact"/>
        <w:ind w:firstLine="480" w:firstLineChars="200"/>
        <w:rPr>
          <w:rFonts w:hint="eastAsia" w:ascii="宋体" w:hAnsi="宋体" w:eastAsia="宋体"/>
        </w:rPr>
      </w:pPr>
      <w:r>
        <w:rPr>
          <w:rFonts w:hint="eastAsia" w:ascii="宋体" w:hAnsi="宋体" w:eastAsia="宋体"/>
        </w:rPr>
        <w:t>6.3供应商应依法行使自己的质疑、投诉权利。对于恶意质疑、投诉、弄虚作假及其他违法违规行为的，一经查实，壹年内将禁止参与医院采购项目的投标。</w:t>
      </w:r>
    </w:p>
    <w:p w14:paraId="676E3FD1">
      <w:pPr>
        <w:spacing w:line="400" w:lineRule="exact"/>
        <w:ind w:firstLine="480" w:firstLineChars="200"/>
        <w:rPr>
          <w:rFonts w:hint="eastAsia" w:ascii="宋体" w:hAnsi="宋体" w:eastAsia="宋体"/>
          <w:sz w:val="24"/>
        </w:rPr>
      </w:pPr>
    </w:p>
    <w:p w14:paraId="7D4679C5">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一、项目建设概述：</w:t>
      </w:r>
    </w:p>
    <w:p w14:paraId="5F5C070E">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根据《关于印发（安徽省医疗卫生机构统方数据安全管理办法〉的通知》（皖卫规划秘 [2024]56 号）和《关于开展公立医院医药采购、使用及管理问题查摆工作的通知》（皖卫传 [2024 ] 319 号）文件精神要求，医院需购置一套防统方管理软件，解决防统方管理中存在的漏洞，存在的商业统方风险。</w:t>
      </w:r>
    </w:p>
    <w:p w14:paraId="5129C519">
      <w:pPr>
        <w:spacing w:line="380" w:lineRule="exact"/>
        <w:textAlignment w:val="baseline"/>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二、服务内容详细要求</w:t>
      </w:r>
    </w:p>
    <w:p w14:paraId="7D8F3B3B">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基于防统方解决方案从事先防范--事中审批--及时通知--事后审计四个方面构建，来满足医院和卫生部门对防统方的安全要求。 防统方解决方案体系包含如下: 以事先防范构筑"统方"防御体系禁止当前频繁发生的商业统方以及任意非法统方行为。以事中授权和审批保障"统方"安全禁止非法统方，确保合法统方经过授权可以识别统方和操作人一一关联。 事中及时通知可疑"统方"行为针对统方数据的操作，不论统方是合法或非法，均在第一时间通过多种渠道发布通知，发现可疑"统方"行为。 全面的事后审计以事后审计追踪非法"统方"事件，不论统方是合法或非法，所有操作均记录在审计信息内，详尽的海量审计信息为惩戒提供了精细的证据。</w:t>
      </w:r>
      <w:bookmarkStart w:id="0" w:name="_GoBack"/>
      <w:bookmarkEnd w:id="0"/>
    </w:p>
    <w:p w14:paraId="605A6F86">
      <w:pPr>
        <w:spacing w:line="380" w:lineRule="exact"/>
        <w:textAlignment w:val="baseline"/>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(一）技术参数要求</w:t>
      </w:r>
    </w:p>
    <w:p w14:paraId="4B12EFD3">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1.1管理、审计用户权限分开，相应权限的用户只能查看、管理相应的系统功能，责任明确。</w:t>
      </w:r>
    </w:p>
    <w:p w14:paraId="58039F07">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1.2多种部署方式（串接/并接）下都可以阻止客户端进行疑似的统方行为。</w:t>
      </w:r>
    </w:p>
    <w:p w14:paraId="4C2801AD">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1.3系统支持采用旁路部署方式，不需要更改现有网络结构、服务器相关配置，系统运行不得影响现有网络和业务的正常运行。系统应能独立完成审计数据采集，不依赖于数据库自身审计日志系统，不得在现有服务器上安装可能带来风险的程序。</w:t>
      </w:r>
    </w:p>
    <w:p w14:paraId="4404F881">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1.4系统数据支持加密传输，支持双密码用户。</w:t>
      </w:r>
    </w:p>
    <w:p w14:paraId="493185A1">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1.5系统确保最小报警监控时间间隔为5秒，保证统方事件的及时告警。</w:t>
      </w:r>
    </w:p>
    <w:p w14:paraId="4DFDDF75">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1.6系统的时间可以和关键服务器中的数据库的时间进行同步，确保记录时间的一致性。</w:t>
      </w:r>
    </w:p>
    <w:p w14:paraId="2E5B0D52">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1.7支持加密方式的数据库连接信息分析。</w:t>
      </w:r>
    </w:p>
    <w:p w14:paraId="35703F4E">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1.8支持对Oracle、MS-SQL、DB2、MYSQL、CACHEDB、POSTGRESQL和Sybase等数据库提供自动化评估、审计和保护功能，且支持多种不同的数据同时审计。</w:t>
      </w:r>
    </w:p>
    <w:p w14:paraId="167F877C">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1.9具备用户行为记录功能，记录用户所有的操作（业务访问、系统维护、策略配置等）。</w:t>
      </w:r>
    </w:p>
    <w:p w14:paraId="191BAAE5">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1.10系统从业务流程角度入手，结合核心数据特征，提供高度集成的“事前+事中+事后”数据防护手段。</w:t>
      </w:r>
    </w:p>
    <w:p w14:paraId="7A144BF6">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1.11系统配置文件支持导入、导出。</w:t>
      </w:r>
    </w:p>
    <w:p w14:paraId="2B06CD1F">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1.12系统应为软硬一体机，支持千兆及以上网络环境，客户端同时并发的监控数≥1000个，事务处理能力≥50000个/秒。</w:t>
      </w:r>
    </w:p>
    <w:p w14:paraId="67980033">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1.13采用B/S架构，提供中文WEB管理界面。可以根据不同的安全级别采用不同的实时告警响应方式，包括记录、消息、鸣音、邮件等，并能支持短信平台。</w:t>
      </w:r>
    </w:p>
    <w:p w14:paraId="17DA9C71">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1.14支持包括ASCII、Unicode、UTF-8、UTF-16、GB2312、EBCDIC等编码格式，避免因编码格式不同而导致审计报表出现乱码的情况，保证了审计报表的可读性。</w:t>
      </w:r>
    </w:p>
    <w:p w14:paraId="4DC1F217">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1.15支持集群，系统支持冗余备份。</w:t>
      </w:r>
    </w:p>
    <w:p w14:paraId="2270B116">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1.16系统应预留一定的接口以作维护，二次开发之用。</w:t>
      </w:r>
    </w:p>
    <w:p w14:paraId="0FA4CA31">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1.17系统内置故障排错系统，帮助管理人员快速排查问题。</w:t>
      </w:r>
    </w:p>
    <w:p w14:paraId="2B413B50">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1.18系统应能对自身的事件（包括登录、系统参数修改、系统异常等）进行审计，可以监控和审计用户对数据库中的数据库表、视图、序列、包、存储过程、函数、库、索引、同义词、快照、触发器等的创建、修改和删除等，分析的内容可以精确到SQL操作语句一级。</w:t>
      </w:r>
    </w:p>
    <w:p w14:paraId="05DDEBAC">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1.19审计数据支持外接存储设备进行备份。数据应进行加密保管，只能通过专门工具进行恢复和查询浏览。</w:t>
      </w:r>
    </w:p>
    <w:p w14:paraId="4E59F5B5">
      <w:pPr>
        <w:spacing w:line="400" w:lineRule="exact"/>
        <w:ind w:firstLine="480" w:firstLineChars="200"/>
        <w:rPr>
          <w:rFonts w:hint="eastAsia" w:ascii="宋体" w:hAnsi="宋体" w:eastAsia="宋体"/>
          <w:b/>
          <w:bCs/>
          <w:sz w:val="24"/>
          <w:lang w:val="en-US" w:eastAsia="zh-CN"/>
        </w:rPr>
      </w:pPr>
      <w:r>
        <w:rPr>
          <w:rFonts w:hint="eastAsia" w:ascii="宋体" w:hAnsi="宋体" w:eastAsia="宋体" w:cs="宋体"/>
          <w:sz w:val="24"/>
          <w:lang w:val="en-US" w:eastAsia="zh-CN"/>
        </w:rPr>
        <w:t>★</w:t>
      </w:r>
      <w:r>
        <w:rPr>
          <w:rFonts w:hint="eastAsia" w:ascii="宋体" w:hAnsi="宋体" w:eastAsia="宋体"/>
          <w:sz w:val="24"/>
          <w:lang w:val="en-US" w:eastAsia="zh-CN"/>
        </w:rPr>
        <w:t>1.20出具针对纪委、监察室相关人员使用的防统方审计报告，支持每天或多天生成统方审计报告，报告需简单明了，且具有主动将所有的计算机语言翻译成通俗易懂的自然语言的系统机制，支持将整条SQL语句翻译成中文，帮助医院建立基于内部网络的党风廉政、廉洁警示、院内敏感职权使用的防控专网，助力清廉医院建设</w:t>
      </w:r>
      <w:r>
        <w:rPr>
          <w:rFonts w:hint="eastAsia" w:ascii="宋体" w:hAnsi="宋体" w:eastAsia="宋体"/>
          <w:b/>
          <w:bCs/>
          <w:sz w:val="24"/>
          <w:lang w:val="en-US" w:eastAsia="zh-CN"/>
        </w:rPr>
        <w:t>（提供产品截图并加盖公章）。</w:t>
      </w:r>
    </w:p>
    <w:p w14:paraId="02BB603C">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1.21系统内置防统方知识库，且具有自我学习功能。</w:t>
      </w:r>
    </w:p>
    <w:p w14:paraId="7BFD2006">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1.22支持应用云计算功能提供数据分析平台，需承诺对分析的数据按照《中华人民共和国数据安全法》、《中华人民共和国个人信息保护法》提供数据安全保护措施（提供承诺函）。</w:t>
      </w:r>
    </w:p>
    <w:p w14:paraId="128C05D4">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1.23根据客户端应用程序名单，实时阻止非法客户端程序或伪装正常客户端程序对关键服务器的访问。</w:t>
      </w:r>
    </w:p>
    <w:p w14:paraId="49F443B3">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1.24可疑对象定位功能，可以精确定位可疑对象的物理位置。</w:t>
      </w:r>
    </w:p>
    <w:p w14:paraId="774D0ABC">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1.25可以对某统方行为的所有操作以及操作结果关联起来，以报表的形式呈现给使用部门，便于使用部门分析和追溯统方事件。</w:t>
      </w:r>
    </w:p>
    <w:p w14:paraId="29E5AA19">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1.26阻止可疑会话功能，甄别数据访问，阻止非正常数据会话。能根据预定规则阻止SQL语句的相关功能，如根据系统设置的客户端IP/MAC黑名单，以及数据内容中的敏感信息，实时阻止黑名单中的客户端对关键服务器的访问。</w:t>
      </w:r>
    </w:p>
    <w:p w14:paraId="6A7116CA">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1.27统方白名单权限的设置，可对授权统方行为的操作人员工号、操作类型、IP地址、客户端工具、操作系统用户名、主机名、MAC地址、SQL语句和操作的时间范围等条件进行设置，只有通过了授权和验证才可以获得统方权限。</w:t>
      </w:r>
    </w:p>
    <w:p w14:paraId="2CEFEB96">
      <w:pPr>
        <w:spacing w:line="400" w:lineRule="exact"/>
        <w:ind w:firstLine="480" w:firstLineChars="200"/>
        <w:rPr>
          <w:rFonts w:hint="eastAsia" w:ascii="宋体" w:hAnsi="宋体" w:eastAsia="宋体"/>
          <w:sz w:val="24"/>
          <w:lang w:val="en-US" w:eastAsia="zh-CN"/>
        </w:rPr>
      </w:pPr>
      <w:r>
        <w:rPr>
          <w:rFonts w:hint="eastAsia" w:ascii="宋体" w:hAnsi="宋体" w:eastAsia="宋体" w:cs="宋体"/>
          <w:sz w:val="24"/>
          <w:lang w:val="en-US" w:eastAsia="zh-CN"/>
        </w:rPr>
        <w:t>★</w:t>
      </w:r>
      <w:r>
        <w:rPr>
          <w:rFonts w:hint="eastAsia" w:ascii="宋体" w:hAnsi="宋体" w:eastAsia="宋体"/>
          <w:sz w:val="24"/>
          <w:lang w:val="en-US" w:eastAsia="zh-CN"/>
        </w:rPr>
        <w:t>1.28数据归档可对用户指定的重要数据进行存档并添加描述，归档数据会永久保留（</w:t>
      </w:r>
      <w:r>
        <w:rPr>
          <w:rFonts w:hint="eastAsia" w:ascii="宋体" w:hAnsi="宋体" w:eastAsia="宋体"/>
          <w:b/>
          <w:bCs/>
          <w:sz w:val="24"/>
          <w:lang w:val="en-US" w:eastAsia="zh-CN"/>
        </w:rPr>
        <w:t>提供产品截图并加盖公章</w:t>
      </w:r>
      <w:r>
        <w:rPr>
          <w:rFonts w:hint="eastAsia" w:ascii="宋体" w:hAnsi="宋体" w:eastAsia="宋体"/>
          <w:sz w:val="24"/>
          <w:lang w:val="en-US" w:eastAsia="zh-CN"/>
        </w:rPr>
        <w:t>）。</w:t>
      </w:r>
    </w:p>
    <w:p w14:paraId="6101DFC1">
      <w:pPr>
        <w:spacing w:line="400" w:lineRule="exact"/>
        <w:ind w:firstLine="480" w:firstLineChars="200"/>
        <w:rPr>
          <w:rFonts w:hint="eastAsia" w:ascii="宋体" w:hAnsi="宋体" w:eastAsia="宋体"/>
          <w:b/>
          <w:bCs/>
          <w:sz w:val="24"/>
          <w:lang w:val="en-US" w:eastAsia="zh-CN"/>
        </w:rPr>
      </w:pPr>
      <w:r>
        <w:rPr>
          <w:rFonts w:hint="eastAsia" w:ascii="宋体" w:hAnsi="宋体" w:eastAsia="宋体" w:cs="宋体"/>
          <w:sz w:val="24"/>
          <w:lang w:val="en-US" w:eastAsia="zh-CN"/>
        </w:rPr>
        <w:t>★</w:t>
      </w:r>
      <w:r>
        <w:rPr>
          <w:rFonts w:hint="eastAsia" w:ascii="宋体" w:hAnsi="宋体" w:eastAsia="宋体"/>
          <w:sz w:val="24"/>
          <w:lang w:val="en-US" w:eastAsia="zh-CN"/>
        </w:rPr>
        <w:t>1.29对于正常合法统方行为，可以在现有防统方系统中做正常统方申请报备处理，在系统呈现统方报表时，给出此操作已完成相应报备手续，属于正常统方范畴（</w:t>
      </w:r>
      <w:r>
        <w:rPr>
          <w:rFonts w:hint="eastAsia" w:ascii="宋体" w:hAnsi="宋体" w:eastAsia="宋体"/>
          <w:b/>
          <w:bCs/>
          <w:sz w:val="24"/>
          <w:lang w:val="en-US" w:eastAsia="zh-CN"/>
        </w:rPr>
        <w:t>提供产品截图并加盖公章）。</w:t>
      </w:r>
    </w:p>
    <w:p w14:paraId="145E1669">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1.30满足医院多种监控需求，除HIS外还要监控合理用药、临床药学、数据中心CDR、耗材SPD等。</w:t>
      </w:r>
    </w:p>
    <w:p w14:paraId="39BA8A4E">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1.31硬件要求：标准2U机架式。存储≥16T企业级HDD（含64M缓存），可做Raid；CPU：Intel I3系列及以上CPU≥1颗；内存≥32G；网络接口≥4个千兆电口、≥2个SPF单模或多模光纤；工作环境(5℃到35℃),标配双电源。</w:t>
      </w:r>
    </w:p>
    <w:p w14:paraId="53C3742C">
      <w:pPr>
        <w:spacing w:line="400" w:lineRule="exact"/>
        <w:ind w:firstLine="480" w:firstLineChars="200"/>
        <w:rPr>
          <w:rFonts w:hint="eastAsia" w:ascii="宋体" w:hAnsi="宋体" w:eastAsia="宋体"/>
          <w:b/>
          <w:bCs/>
          <w:sz w:val="24"/>
          <w:lang w:val="en-US" w:eastAsia="zh-CN"/>
        </w:rPr>
      </w:pPr>
      <w:r>
        <w:rPr>
          <w:rFonts w:hint="eastAsia" w:ascii="宋体" w:hAnsi="宋体" w:eastAsia="宋体" w:cs="宋体"/>
          <w:sz w:val="24"/>
          <w:lang w:val="en-US" w:eastAsia="zh-CN"/>
        </w:rPr>
        <w:t>★</w:t>
      </w:r>
      <w:r>
        <w:rPr>
          <w:rFonts w:hint="eastAsia" w:ascii="宋体" w:hAnsi="宋体" w:eastAsia="宋体"/>
          <w:sz w:val="24"/>
          <w:lang w:val="en-US" w:eastAsia="zh-CN"/>
        </w:rPr>
        <w:t>1.32在本项目质保期内，系统必须与医院HIS、EMR、集成平台等相关系统（包括新增或升级）对接，由此产生的接口开发、程序改造、现场技术支撑等费用，均包含在报价中，由成交供应商自行协调解决，采购人不再支付与此相关的任何费用。（</w:t>
      </w:r>
      <w:r>
        <w:rPr>
          <w:rFonts w:hint="eastAsia" w:ascii="宋体" w:hAnsi="宋体" w:eastAsia="宋体"/>
          <w:b/>
          <w:bCs/>
          <w:sz w:val="24"/>
          <w:lang w:val="en-US" w:eastAsia="zh-CN"/>
        </w:rPr>
        <w:t>提供承诺，没有提供书面承诺或承诺不完整则响应无效）。</w:t>
      </w:r>
    </w:p>
    <w:p w14:paraId="1A22583B">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1.33软件需满足医院对于一院多区信息同质化部署和管理的需求。</w:t>
      </w:r>
    </w:p>
    <w:p w14:paraId="3E98B2FD">
      <w:pPr>
        <w:spacing w:line="400" w:lineRule="exact"/>
        <w:ind w:firstLine="480" w:firstLineChars="200"/>
        <w:rPr>
          <w:rFonts w:hint="eastAsia" w:ascii="宋体" w:hAnsi="宋体" w:eastAsia="宋体"/>
          <w:sz w:val="24"/>
          <w:lang w:val="en-US" w:eastAsia="zh-CN"/>
        </w:rPr>
      </w:pPr>
    </w:p>
    <w:p w14:paraId="15DBEE4D">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（二）服务要求</w:t>
      </w:r>
    </w:p>
    <w:p w14:paraId="320E42FD">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2.1所供货物必须为全新产品，符合国家有关规定。成交供应商须保证所提供产品具有合法的版权或使用权，本项目采购的产品，如在本项目范围内使用过程中出现版权或使用权纠纷，应由成交供应商负责。</w:t>
      </w:r>
    </w:p>
    <w:p w14:paraId="67C94181">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2.2须提供整机原厂或原厂指定售后服务机构出具的壹年免费保修及终身免费上门维修服务承诺，故障1小时内响应， 软件故障应在2小时内解决，硬件故障应在24小时内解决，否则免费提供备用机，提供7*24小时电话、现场的维护、软件升级服务。</w:t>
      </w:r>
    </w:p>
    <w:p w14:paraId="6BE97CE0">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2.3免费上门安装、调试、培训，质保期内免费升级。</w:t>
      </w:r>
    </w:p>
    <w:p w14:paraId="5A3D96AC">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2.4供应商应当具有良好的服务理念和完善的售后服务体系，能够按照响应技术方案提供系统集成技术支持服务。</w:t>
      </w:r>
    </w:p>
    <w:p w14:paraId="725B1310">
      <w:pPr>
        <w:spacing w:line="400" w:lineRule="exact"/>
        <w:ind w:firstLine="480" w:firstLineChars="200"/>
        <w:rPr>
          <w:rFonts w:hint="eastAsia"/>
          <w:lang w:val="en-US" w:eastAsia="zh-CN"/>
        </w:rPr>
      </w:pPr>
      <w:r>
        <w:rPr>
          <w:rFonts w:hint="eastAsia" w:ascii="宋体" w:hAnsi="宋体" w:eastAsia="宋体"/>
          <w:sz w:val="24"/>
          <w:lang w:val="en-US" w:eastAsia="zh-CN"/>
        </w:rPr>
        <w:t>2.5验收要求：提供系统试运行和自测报告、验收报告、培训记录。</w:t>
      </w:r>
    </w:p>
    <w:p w14:paraId="6CC0CA30">
      <w:pPr>
        <w:spacing w:line="380" w:lineRule="exact"/>
        <w:textAlignment w:val="baseline"/>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三、防统方解决方案要求</w:t>
      </w:r>
    </w:p>
    <w:p w14:paraId="316D158A">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 xml:space="preserve">1.事先防范 基于"事先防范"的非法统方策略性管理是商业防统方的基础，在"事先防范"的策略性管理中，安全管理事先防范主要实现以下目标: 把"统方"基础数据纳入保护体系 "统方"基础数据主要包括处方表、药品数据表、患者信息表、临床诊疗过程相关数据表,它不仅是统方基础数据，也是整个HIS系统的核心数据。限制流动人员访问统方流动人员具有流动性和不受医院约束等特征。通过USB Key或临时授权等方式，实现开发商和合作伙伴等流动人员的管理，限制流动人员对"统方"的访问。 统方白名单和统方特征化可精确的识别His系统中包含的统方操作，在识别到统方操作之后进行授权和审批验证，只有通过授权和验证才可获得统方。 </w:t>
      </w:r>
    </w:p>
    <w:p w14:paraId="55C47E2A">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2.事前阻断 安全管理通过"事先防范"机制，建立了商业统方的策略性管理之后，一旦发现不满足预定义策略的任何统方行为，将被实时阻断，统方窃取行为将被拒绝。 事前阻断是防统方管理体系的核心，只有在统方窃取阶段事前阻断，防统方才真正生效。</w:t>
      </w:r>
    </w:p>
    <w:p w14:paraId="52B22A8E">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3.事中审批 安全管理通过事先策略性管理，对于可识别的统方操作，引入严格授权和审批流程，只有通过验证之后才可以访问统方操作。</w:t>
      </w:r>
    </w:p>
    <w:p w14:paraId="4EC1F53D">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 xml:space="preserve">4.及时通知 针对可疑统方行为可以在第一时间通知管理者，使管理者可以快速掌握现场。 及时通知信息量是经过过滤的，数量少而精，告警可以进行个性化订阅，从而掌控收到的信息严重程度和数量。 </w:t>
      </w:r>
    </w:p>
    <w:p w14:paraId="0B1EE2D8">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5.事后审计 事后审计不同于事中通知，事后审计需要提供非常详尽的审计信息，偏于可疑统方分析的回溯管理。</w:t>
      </w:r>
    </w:p>
    <w:p w14:paraId="59F287C3">
      <w:pPr>
        <w:spacing w:line="40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6.拦截商业(非法)统方之通路 ，统方防御必须是全方位的，不给不法者提供低成本的获取方式存在。</w:t>
      </w:r>
    </w:p>
    <w:p w14:paraId="1C95B8A5">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四、质量及售后要求</w:t>
      </w:r>
    </w:p>
    <w:p w14:paraId="642DBD63">
      <w:pPr>
        <w:pStyle w:val="6"/>
        <w:widowControl w:val="0"/>
        <w:spacing w:line="240" w:lineRule="auto"/>
        <w:ind w:firstLine="480"/>
        <w:rPr>
          <w:rFonts w:hint="eastAsia" w:ascii="宋体" w:hAnsi="宋体" w:eastAsia="宋体"/>
          <w:sz w:val="24"/>
          <w:szCs w:val="20"/>
        </w:rPr>
      </w:pPr>
      <w:r>
        <w:rPr>
          <w:rFonts w:hint="eastAsia" w:ascii="宋体" w:hAnsi="宋体"/>
          <w:sz w:val="24"/>
          <w:szCs w:val="20"/>
          <w:lang w:val="en-US" w:eastAsia="zh-CN"/>
        </w:rPr>
        <w:t>1、</w:t>
      </w:r>
      <w:r>
        <w:rPr>
          <w:rFonts w:hint="eastAsia" w:ascii="宋体" w:hAnsi="宋体" w:eastAsia="宋体"/>
          <w:sz w:val="24"/>
          <w:szCs w:val="20"/>
        </w:rPr>
        <w:t>所供货物必须为全新产品，符合国家有关规定。成交供应商须保证所提供产品具有合法的版权或使用权，本项目采购的产品，如在本项目范围内使用过程中出现版权或使用权纠纷，应由成交供应商负责。</w:t>
      </w:r>
    </w:p>
    <w:p w14:paraId="1D7D5857">
      <w:pPr>
        <w:pStyle w:val="6"/>
        <w:widowControl w:val="0"/>
        <w:spacing w:line="240" w:lineRule="auto"/>
        <w:ind w:firstLine="480"/>
        <w:rPr>
          <w:rFonts w:hint="eastAsia" w:ascii="宋体" w:hAnsi="宋体" w:eastAsia="宋体"/>
          <w:sz w:val="24"/>
          <w:szCs w:val="20"/>
        </w:rPr>
      </w:pPr>
      <w:r>
        <w:rPr>
          <w:rFonts w:hint="eastAsia" w:ascii="宋体" w:hAnsi="宋体"/>
          <w:sz w:val="24"/>
          <w:szCs w:val="20"/>
          <w:lang w:val="en-US" w:eastAsia="zh-CN"/>
        </w:rPr>
        <w:t>2、</w:t>
      </w:r>
      <w:r>
        <w:rPr>
          <w:rFonts w:hint="eastAsia" w:ascii="宋体" w:hAnsi="宋体" w:eastAsia="宋体"/>
          <w:sz w:val="24"/>
          <w:szCs w:val="20"/>
        </w:rPr>
        <w:t>须提供整机原厂或原厂指定售后服务机构出具的</w:t>
      </w:r>
      <w:r>
        <w:rPr>
          <w:rFonts w:hint="eastAsia" w:ascii="宋体" w:hAnsi="宋体" w:eastAsia="宋体"/>
          <w:b/>
          <w:bCs/>
          <w:sz w:val="24"/>
          <w:szCs w:val="20"/>
        </w:rPr>
        <w:t>壹年免费保修</w:t>
      </w:r>
      <w:r>
        <w:rPr>
          <w:rFonts w:hint="eastAsia" w:ascii="宋体" w:hAnsi="宋体" w:eastAsia="宋体"/>
          <w:sz w:val="24"/>
          <w:szCs w:val="20"/>
        </w:rPr>
        <w:t>及终身免费上门维修服务承诺，故障1小时内响应， 软件故障应在2小时内解决，硬件故障应在24小时内解决，否则免费提供备用机，提供7*24小时电话、现场的维护、软件升级服务。</w:t>
      </w:r>
    </w:p>
    <w:p w14:paraId="00326CC8">
      <w:pPr>
        <w:pStyle w:val="6"/>
        <w:widowControl w:val="0"/>
        <w:spacing w:line="240" w:lineRule="auto"/>
        <w:ind w:firstLine="480"/>
        <w:rPr>
          <w:rFonts w:hint="eastAsia" w:ascii="宋体" w:hAnsi="宋体" w:eastAsia="宋体"/>
          <w:sz w:val="24"/>
          <w:szCs w:val="20"/>
        </w:rPr>
      </w:pPr>
      <w:r>
        <w:rPr>
          <w:rFonts w:hint="eastAsia" w:ascii="宋体" w:hAnsi="宋体"/>
          <w:sz w:val="24"/>
          <w:szCs w:val="20"/>
          <w:lang w:val="en-US" w:eastAsia="zh-CN"/>
        </w:rPr>
        <w:t>3、</w:t>
      </w:r>
      <w:r>
        <w:rPr>
          <w:rFonts w:hint="eastAsia" w:ascii="宋体" w:hAnsi="宋体" w:eastAsia="宋体"/>
          <w:sz w:val="24"/>
          <w:szCs w:val="20"/>
        </w:rPr>
        <w:t>免费上门安装、调试、培训，质保期内免费升级。</w:t>
      </w:r>
    </w:p>
    <w:p w14:paraId="1D2DF259">
      <w:pPr>
        <w:pStyle w:val="6"/>
        <w:widowControl w:val="0"/>
        <w:spacing w:line="240" w:lineRule="auto"/>
        <w:ind w:firstLine="480"/>
        <w:rPr>
          <w:rFonts w:hint="eastAsia" w:ascii="宋体" w:hAnsi="宋体" w:eastAsia="宋体"/>
          <w:sz w:val="24"/>
          <w:szCs w:val="20"/>
        </w:rPr>
      </w:pPr>
      <w:r>
        <w:rPr>
          <w:rFonts w:hint="eastAsia" w:ascii="宋体" w:hAnsi="宋体"/>
          <w:sz w:val="24"/>
          <w:szCs w:val="20"/>
          <w:lang w:val="en-US" w:eastAsia="zh-CN"/>
        </w:rPr>
        <w:t>4、</w:t>
      </w:r>
      <w:r>
        <w:rPr>
          <w:rFonts w:hint="eastAsia" w:ascii="宋体" w:hAnsi="宋体" w:eastAsia="宋体"/>
          <w:sz w:val="24"/>
          <w:szCs w:val="20"/>
        </w:rPr>
        <w:t>供应商应当具有良好的服务理念和完善的售后服务体系，能够按照响应技术方案提供系统集成技术支持服务。</w:t>
      </w:r>
    </w:p>
    <w:p w14:paraId="67FCF8AD">
      <w:pPr>
        <w:pStyle w:val="6"/>
        <w:widowControl w:val="0"/>
        <w:spacing w:line="240" w:lineRule="auto"/>
        <w:ind w:firstLine="480"/>
        <w:rPr>
          <w:rFonts w:hint="eastAsia" w:ascii="宋体" w:hAnsi="宋体" w:eastAsia="宋体"/>
          <w:sz w:val="24"/>
          <w:szCs w:val="20"/>
        </w:rPr>
      </w:pPr>
      <w:r>
        <w:rPr>
          <w:rFonts w:hint="eastAsia" w:ascii="宋体" w:hAnsi="宋体"/>
          <w:sz w:val="24"/>
          <w:szCs w:val="20"/>
          <w:lang w:val="en-US" w:eastAsia="zh-CN"/>
        </w:rPr>
        <w:t>5、</w:t>
      </w:r>
      <w:r>
        <w:rPr>
          <w:rFonts w:hint="eastAsia" w:ascii="宋体" w:hAnsi="宋体" w:eastAsia="宋体"/>
          <w:sz w:val="24"/>
          <w:szCs w:val="20"/>
        </w:rPr>
        <w:t>验收要求：提供系统试运行和自测报告、验收报告、培训记录。</w:t>
      </w:r>
    </w:p>
    <w:p w14:paraId="4E11C14B">
      <w:pPr>
        <w:pStyle w:val="6"/>
        <w:widowControl w:val="0"/>
        <w:spacing w:line="240" w:lineRule="auto"/>
        <w:ind w:firstLine="480"/>
        <w:rPr>
          <w:rFonts w:hint="eastAsia" w:ascii="宋体" w:hAnsi="宋体" w:eastAsia="宋体"/>
          <w:sz w:val="24"/>
          <w:szCs w:val="20"/>
          <w:lang w:eastAsia="zh-CN"/>
        </w:rPr>
      </w:pPr>
      <w:r>
        <w:rPr>
          <w:rFonts w:hint="eastAsia" w:ascii="宋体" w:hAnsi="宋体"/>
          <w:b/>
          <w:bCs/>
          <w:sz w:val="24"/>
          <w:szCs w:val="20"/>
          <w:lang w:val="en-US" w:eastAsia="zh-CN"/>
        </w:rPr>
        <w:t>6、</w:t>
      </w:r>
      <w:r>
        <w:rPr>
          <w:rFonts w:hint="eastAsia" w:ascii="宋体" w:hAnsi="宋体" w:eastAsia="宋体"/>
          <w:b/>
          <w:bCs/>
          <w:sz w:val="24"/>
          <w:szCs w:val="20"/>
          <w:lang w:val="en-US" w:eastAsia="zh-CN"/>
        </w:rPr>
        <w:t>免费服务期：三</w:t>
      </w:r>
      <w:r>
        <w:rPr>
          <w:rFonts w:hint="eastAsia" w:ascii="宋体" w:hAnsi="宋体" w:eastAsia="宋体"/>
          <w:b/>
          <w:bCs/>
          <w:sz w:val="24"/>
          <w:szCs w:val="20"/>
        </w:rPr>
        <w:t>年</w:t>
      </w:r>
      <w:r>
        <w:rPr>
          <w:rFonts w:hint="eastAsia" w:ascii="宋体" w:hAnsi="宋体" w:eastAsia="宋体"/>
          <w:sz w:val="24"/>
          <w:szCs w:val="20"/>
        </w:rPr>
        <w:t>（包含但不限于</w:t>
      </w:r>
      <w:r>
        <w:rPr>
          <w:rFonts w:hint="eastAsia" w:ascii="宋体" w:hAnsi="宋体"/>
          <w:sz w:val="24"/>
          <w:szCs w:val="20"/>
          <w:lang w:val="en-US" w:eastAsia="zh-CN"/>
        </w:rPr>
        <w:t>系统完善功能、维护、</w:t>
      </w:r>
      <w:r>
        <w:rPr>
          <w:rFonts w:hint="eastAsia" w:ascii="宋体" w:hAnsi="宋体" w:eastAsia="宋体"/>
          <w:sz w:val="24"/>
          <w:szCs w:val="20"/>
        </w:rPr>
        <w:t>升级、接口对接）。</w:t>
      </w:r>
    </w:p>
    <w:p w14:paraId="391730E3">
      <w:pPr>
        <w:pStyle w:val="6"/>
        <w:widowControl w:val="0"/>
        <w:spacing w:line="240" w:lineRule="auto"/>
        <w:ind w:firstLine="480"/>
        <w:rPr>
          <w:rFonts w:hint="eastAsia" w:ascii="宋体" w:hAnsi="宋体" w:eastAsia="宋体"/>
          <w:sz w:val="24"/>
          <w:szCs w:val="20"/>
        </w:rPr>
      </w:pPr>
      <w:r>
        <w:rPr>
          <w:rFonts w:hint="eastAsia" w:ascii="宋体" w:hAnsi="宋体"/>
          <w:sz w:val="24"/>
          <w:szCs w:val="20"/>
          <w:lang w:val="en-US" w:eastAsia="zh-CN"/>
        </w:rPr>
        <w:t>7、</w:t>
      </w:r>
      <w:r>
        <w:rPr>
          <w:rFonts w:hint="eastAsia" w:ascii="宋体" w:hAnsi="宋体" w:eastAsia="宋体"/>
          <w:sz w:val="24"/>
          <w:szCs w:val="20"/>
        </w:rPr>
        <w:t>负责培训采购单位的使用人员，直至完全掌握</w:t>
      </w:r>
      <w:r>
        <w:rPr>
          <w:rFonts w:hint="eastAsia" w:ascii="宋体" w:hAnsi="宋体" w:eastAsia="宋体"/>
          <w:sz w:val="24"/>
          <w:szCs w:val="20"/>
          <w:lang w:val="en-US" w:eastAsia="zh-CN"/>
        </w:rPr>
        <w:t>防统方管理</w:t>
      </w:r>
      <w:r>
        <w:rPr>
          <w:rFonts w:hint="eastAsia" w:ascii="宋体" w:hAnsi="宋体" w:eastAsia="宋体"/>
          <w:sz w:val="24"/>
          <w:szCs w:val="20"/>
        </w:rPr>
        <w:t>系统的操作、日常维护保养及简单维护方法。</w:t>
      </w:r>
    </w:p>
    <w:p w14:paraId="00A52257">
      <w:pPr>
        <w:pStyle w:val="6"/>
        <w:widowControl w:val="0"/>
        <w:spacing w:line="240" w:lineRule="auto"/>
        <w:ind w:firstLine="480"/>
        <w:rPr>
          <w:rFonts w:hint="eastAsia" w:ascii="黑体" w:hAnsi="黑体" w:eastAsia="黑体" w:cs="黑体"/>
          <w:b/>
          <w:bCs/>
          <w:kern w:val="0"/>
          <w:sz w:val="24"/>
          <w:lang w:val="en-US" w:eastAsia="zh-CN"/>
        </w:rPr>
      </w:pPr>
      <w:r>
        <w:rPr>
          <w:rFonts w:hint="eastAsia" w:ascii="宋体" w:hAnsi="宋体"/>
          <w:sz w:val="24"/>
          <w:szCs w:val="20"/>
          <w:lang w:val="en-US" w:eastAsia="zh-CN"/>
        </w:rPr>
        <w:t>8、</w:t>
      </w:r>
      <w:r>
        <w:rPr>
          <w:rFonts w:hint="eastAsia" w:ascii="宋体" w:hAnsi="宋体" w:eastAsia="宋体"/>
          <w:sz w:val="24"/>
          <w:szCs w:val="20"/>
        </w:rPr>
        <w:t>未尽事宜，在签订合同时协商。</w:t>
      </w:r>
    </w:p>
    <w:p w14:paraId="7A14CCA2">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五、控制价</w:t>
      </w:r>
    </w:p>
    <w:p w14:paraId="57F4DFFD">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120000</w:t>
      </w:r>
      <w:r>
        <w:rPr>
          <w:rFonts w:hint="eastAsia" w:ascii="宋体" w:hAnsi="宋体" w:eastAsia="宋体"/>
          <w:b/>
          <w:sz w:val="24"/>
          <w:highlight w:val="yellow"/>
        </w:rPr>
        <w:t>元（大写：</w:t>
      </w:r>
      <w:r>
        <w:rPr>
          <w:rFonts w:hint="eastAsia" w:ascii="宋体" w:hAnsi="宋体" w:eastAsia="宋体"/>
          <w:b/>
          <w:sz w:val="24"/>
          <w:highlight w:val="yellow"/>
          <w:lang w:val="en-US" w:eastAsia="zh-CN"/>
        </w:rPr>
        <w:t>拾贰万</w:t>
      </w:r>
      <w:r>
        <w:rPr>
          <w:rFonts w:hint="eastAsia" w:ascii="宋体" w:hAnsi="宋体" w:eastAsia="宋体"/>
          <w:b/>
          <w:sz w:val="24"/>
          <w:highlight w:val="yellow"/>
        </w:rPr>
        <w:t>元）。</w:t>
      </w:r>
      <w:r>
        <w:rPr>
          <w:rFonts w:hint="eastAsia" w:ascii="宋体" w:hAnsi="宋体" w:eastAsia="宋体"/>
          <w:sz w:val="24"/>
        </w:rPr>
        <w:t>高于此限价投标无效。</w:t>
      </w:r>
    </w:p>
    <w:p w14:paraId="42269AE3">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六、报价要求</w:t>
      </w:r>
    </w:p>
    <w:p w14:paraId="50A1B4D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1、报价方在收到招标文件后应自行对现场详细情况进行充分考察。</w:t>
      </w:r>
    </w:p>
    <w:p w14:paraId="423A751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2、报价方应充分分析市场的价格变动风险，并不得低于成本报价竞价。</w:t>
      </w:r>
    </w:p>
    <w:p w14:paraId="0317A9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w:t>
      </w:r>
      <w:r>
        <w:rPr>
          <w:rFonts w:hint="eastAsia" w:ascii="宋体" w:hAnsi="宋体" w:eastAsia="宋体"/>
          <w:color w:val="000000"/>
          <w:sz w:val="24"/>
          <w:lang w:val="en-US" w:eastAsia="zh-CN"/>
        </w:rPr>
        <w:t>总</w:t>
      </w:r>
      <w:r>
        <w:rPr>
          <w:rFonts w:hint="eastAsia" w:ascii="宋体" w:hAnsi="宋体" w:eastAsia="宋体"/>
          <w:color w:val="000000"/>
          <w:sz w:val="24"/>
        </w:rPr>
        <w:t>价为结算时的最终</w:t>
      </w:r>
      <w:r>
        <w:rPr>
          <w:rFonts w:hint="eastAsia" w:ascii="宋体" w:hAnsi="宋体" w:eastAsia="宋体"/>
          <w:color w:val="000000"/>
          <w:sz w:val="24"/>
          <w:lang w:val="en-US" w:eastAsia="zh-CN"/>
        </w:rPr>
        <w:t>总</w:t>
      </w:r>
      <w:r>
        <w:rPr>
          <w:rFonts w:hint="eastAsia" w:ascii="宋体" w:hAnsi="宋体" w:eastAsia="宋体"/>
          <w:color w:val="000000"/>
          <w:sz w:val="24"/>
        </w:rPr>
        <w:t>价，不以市场波动、政策调整、人工涨跌等原因做任何形式的调整。</w:t>
      </w:r>
    </w:p>
    <w:p w14:paraId="3633FB1F">
      <w:pPr>
        <w:shd w:val="clear" w:color="auto" w:fill="FFFFFF"/>
        <w:spacing w:line="380" w:lineRule="exact"/>
        <w:ind w:firstLine="480" w:firstLineChars="200"/>
        <w:jc w:val="left"/>
        <w:textAlignment w:val="baseline"/>
        <w:rPr>
          <w:rFonts w:hint="eastAsia" w:ascii="宋体" w:hAnsi="宋体" w:eastAsia="宋体"/>
          <w:color w:val="000000"/>
          <w:sz w:val="24"/>
          <w:lang w:val="en-US"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p>
    <w:p w14:paraId="737E6ACC">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 xml:space="preserve">七、付款方式： </w:t>
      </w:r>
    </w:p>
    <w:p w14:paraId="40F86FA1">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项目实施至达到上线标准，经相关部门验证，付合同总额的</w:t>
      </w:r>
      <w:r>
        <w:rPr>
          <w:rFonts w:hint="eastAsia" w:ascii="宋体" w:hAnsi="宋体" w:eastAsia="宋体"/>
          <w:color w:val="000000"/>
          <w:sz w:val="24"/>
          <w:lang w:val="en-US" w:eastAsia="zh-CN"/>
        </w:rPr>
        <w:t>8</w:t>
      </w:r>
      <w:r>
        <w:rPr>
          <w:rFonts w:hint="eastAsia" w:ascii="宋体" w:hAnsi="宋体" w:eastAsia="宋体"/>
          <w:color w:val="000000"/>
          <w:sz w:val="24"/>
        </w:rPr>
        <w:t>0%，剩余款项作为运行维护费，满一年后无息付清。</w:t>
      </w:r>
    </w:p>
    <w:p w14:paraId="6F7ABD58">
      <w:pPr>
        <w:spacing w:line="380" w:lineRule="exact"/>
        <w:textAlignment w:val="baseline"/>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八、评价方法：</w:t>
      </w:r>
    </w:p>
    <w:p w14:paraId="7AA91B1E">
      <w:pPr>
        <w:shd w:val="clear" w:color="auto" w:fill="FFFFFF"/>
        <w:spacing w:line="380" w:lineRule="exact"/>
        <w:ind w:firstLine="480" w:firstLineChars="200"/>
        <w:jc w:val="left"/>
        <w:textAlignment w:val="baseline"/>
        <w:rPr>
          <w:rFonts w:hint="eastAsia"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报价</w:t>
      </w:r>
      <w:r>
        <w:rPr>
          <w:rFonts w:hint="eastAsia" w:ascii="宋体" w:hAnsi="宋体" w:eastAsia="宋体"/>
          <w:color w:val="000000"/>
          <w:sz w:val="24"/>
        </w:rPr>
        <w:t>由低到高的顺序，推荐给领导小组审定后确定成交人。</w:t>
      </w:r>
    </w:p>
    <w:p w14:paraId="16D53674">
      <w:pPr>
        <w:ind w:firstLine="480"/>
        <w:rPr>
          <w:rFonts w:hint="eastAsia" w:ascii="宋体" w:hAnsi="宋体" w:eastAsia="宋体"/>
          <w:sz w:val="24"/>
          <w:highlight w:val="yellow"/>
        </w:rPr>
      </w:pPr>
      <w:r>
        <w:rPr>
          <w:rFonts w:hint="eastAsia" w:ascii="宋体" w:hAnsi="宋体" w:eastAsia="宋体"/>
          <w:sz w:val="24"/>
          <w:highlight w:val="yellow"/>
        </w:rPr>
        <w:t>2、按无效报价投标处理的情况：</w:t>
      </w:r>
    </w:p>
    <w:p w14:paraId="53568B63">
      <w:pPr>
        <w:widowControl/>
        <w:numPr>
          <w:ilvl w:val="0"/>
          <w:numId w:val="1"/>
        </w:numPr>
        <w:spacing w:line="380" w:lineRule="exact"/>
        <w:ind w:left="825" w:firstLine="15"/>
        <w:rPr>
          <w:rFonts w:hint="eastAsia" w:ascii="宋体" w:hAnsi="宋体" w:eastAsia="宋体"/>
          <w:sz w:val="24"/>
        </w:rPr>
      </w:pPr>
      <w:r>
        <w:rPr>
          <w:rFonts w:hint="eastAsia" w:ascii="宋体" w:hAnsi="宋体" w:eastAsia="宋体"/>
          <w:sz w:val="24"/>
        </w:rPr>
        <w:t>逾期送达的或者未送达指定地点的响应文件；</w:t>
      </w:r>
    </w:p>
    <w:p w14:paraId="71D87C5C">
      <w:pPr>
        <w:widowControl/>
        <w:numPr>
          <w:ilvl w:val="0"/>
          <w:numId w:val="1"/>
        </w:numPr>
        <w:spacing w:line="380" w:lineRule="exact"/>
        <w:ind w:left="825" w:firstLine="15"/>
        <w:rPr>
          <w:rFonts w:hint="eastAsia" w:ascii="宋体" w:hAnsi="宋体" w:eastAsia="宋体"/>
          <w:sz w:val="24"/>
        </w:rPr>
      </w:pPr>
      <w:r>
        <w:rPr>
          <w:rFonts w:hint="eastAsia" w:ascii="宋体" w:hAnsi="宋体" w:eastAsia="宋体"/>
          <w:sz w:val="24"/>
        </w:rPr>
        <w:t>递交投标文件参与现场报到签字的不是被授权委托人的；</w:t>
      </w:r>
    </w:p>
    <w:p w14:paraId="719D8895">
      <w:pPr>
        <w:widowControl/>
        <w:numPr>
          <w:ilvl w:val="0"/>
          <w:numId w:val="1"/>
        </w:numPr>
        <w:spacing w:line="380" w:lineRule="exact"/>
        <w:ind w:left="825" w:firstLine="15"/>
        <w:rPr>
          <w:rFonts w:hint="eastAsia" w:ascii="宋体" w:hAnsi="宋体" w:eastAsia="宋体"/>
          <w:sz w:val="24"/>
        </w:rPr>
      </w:pPr>
      <w:r>
        <w:rPr>
          <w:rFonts w:hint="eastAsia" w:ascii="宋体" w:hAnsi="宋体" w:eastAsia="宋体"/>
          <w:sz w:val="24"/>
        </w:rPr>
        <w:t>提供投标响应文件不符合采购文件要求，未实质性响应技术和商务要求的。</w:t>
      </w:r>
    </w:p>
    <w:p w14:paraId="6CE8BA66">
      <w:pPr>
        <w:spacing w:line="380" w:lineRule="exact"/>
        <w:ind w:firstLine="480"/>
        <w:rPr>
          <w:rFonts w:hint="eastAsia" w:ascii="宋体" w:hAnsi="宋体" w:eastAsia="宋体"/>
          <w:color w:val="000000"/>
          <w:sz w:val="24"/>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75DF0533">
      <w:pPr>
        <w:shd w:val="clear" w:color="auto" w:fill="FFFFFF"/>
        <w:spacing w:line="380" w:lineRule="exact"/>
        <w:ind w:firstLine="480" w:firstLineChars="200"/>
        <w:jc w:val="left"/>
        <w:textAlignment w:val="baseline"/>
        <w:rPr>
          <w:rFonts w:hint="eastAsia" w:ascii="宋体" w:hAnsi="宋体" w:eastAsia="宋体"/>
          <w:color w:val="000000"/>
          <w:sz w:val="24"/>
        </w:rPr>
        <w:sectPr>
          <w:pgSz w:w="11906" w:h="16838"/>
          <w:pgMar w:top="1531" w:right="1304" w:bottom="1418" w:left="1418" w:header="851" w:footer="992" w:gutter="0"/>
          <w:cols w:space="720" w:num="1"/>
          <w:docGrid w:linePitch="435" w:charSpace="0"/>
        </w:sectPr>
      </w:pPr>
    </w:p>
    <w:p w14:paraId="3DD08E00">
      <w:pPr>
        <w:jc w:val="both"/>
        <w:rPr>
          <w:rFonts w:ascii="宋体" w:hAnsi="宋体"/>
          <w:b/>
          <w:sz w:val="24"/>
        </w:rPr>
      </w:pPr>
      <w:r>
        <w:rPr>
          <w:rFonts w:hint="eastAsia" w:ascii="宋体" w:hAnsi="宋体"/>
          <w:b/>
          <w:sz w:val="24"/>
        </w:rPr>
        <w:t>附件：报价响应文件格式</w:t>
      </w:r>
    </w:p>
    <w:p w14:paraId="41FE315B">
      <w:pPr>
        <w:pStyle w:val="12"/>
        <w:jc w:val="center"/>
      </w:pPr>
    </w:p>
    <w:p w14:paraId="058B7DCC">
      <w:pPr>
        <w:pStyle w:val="12"/>
        <w:jc w:val="center"/>
      </w:pPr>
    </w:p>
    <w:p w14:paraId="57166D52">
      <w:pPr>
        <w:pStyle w:val="12"/>
        <w:jc w:val="center"/>
        <w:rPr>
          <w:rFonts w:hint="eastAsia"/>
        </w:rPr>
      </w:pPr>
      <w:r>
        <w:rPr>
          <w:rFonts w:hint="eastAsia"/>
        </w:rPr>
        <w:t>涡阳县人民医院</w:t>
      </w:r>
    </w:p>
    <w:p w14:paraId="3A293F10">
      <w:pPr>
        <w:pStyle w:val="7"/>
        <w:jc w:val="center"/>
        <w:rPr>
          <w:rFonts w:ascii="方正小标宋简体" w:hAnsi="宋体" w:eastAsia="方正小标宋简体"/>
          <w:sz w:val="36"/>
        </w:rPr>
      </w:pPr>
    </w:p>
    <w:p w14:paraId="509519F1">
      <w:pPr>
        <w:pStyle w:val="12"/>
        <w:jc w:val="center"/>
      </w:pPr>
      <w:r>
        <w:rPr>
          <w:rFonts w:hint="eastAsia"/>
          <w:lang w:eastAsia="zh-CN"/>
        </w:rPr>
        <w:t>防统方管理系统软件</w:t>
      </w:r>
    </w:p>
    <w:p w14:paraId="07105205">
      <w:pPr>
        <w:pStyle w:val="12"/>
        <w:jc w:val="center"/>
      </w:pPr>
    </w:p>
    <w:p w14:paraId="04D5347E">
      <w:pPr>
        <w:pStyle w:val="12"/>
        <w:jc w:val="center"/>
      </w:pPr>
    </w:p>
    <w:p w14:paraId="69578F02">
      <w:pPr>
        <w:pStyle w:val="12"/>
        <w:jc w:val="center"/>
      </w:pPr>
    </w:p>
    <w:p w14:paraId="5931C7DE">
      <w:pPr>
        <w:pStyle w:val="12"/>
        <w:jc w:val="center"/>
      </w:pPr>
    </w:p>
    <w:p w14:paraId="418F592B">
      <w:pPr>
        <w:spacing w:line="360" w:lineRule="auto"/>
        <w:jc w:val="center"/>
        <w:rPr>
          <w:rFonts w:ascii="宋体" w:hAnsi="宋体"/>
          <w:sz w:val="48"/>
        </w:rPr>
      </w:pPr>
      <w:r>
        <w:rPr>
          <w:rFonts w:hint="eastAsia" w:ascii="宋体" w:hAnsi="宋体"/>
          <w:sz w:val="52"/>
        </w:rPr>
        <w:t>报价响应文件</w:t>
      </w:r>
    </w:p>
    <w:p w14:paraId="116AF5F8">
      <w:pPr>
        <w:pStyle w:val="12"/>
        <w:jc w:val="center"/>
      </w:pPr>
    </w:p>
    <w:p w14:paraId="0D1F7CF3">
      <w:pPr>
        <w:pStyle w:val="12"/>
        <w:jc w:val="center"/>
      </w:pPr>
    </w:p>
    <w:p w14:paraId="2237018B">
      <w:pPr>
        <w:pStyle w:val="12"/>
        <w:jc w:val="center"/>
      </w:pPr>
    </w:p>
    <w:p w14:paraId="50332820">
      <w:pPr>
        <w:pStyle w:val="12"/>
        <w:jc w:val="center"/>
      </w:pPr>
    </w:p>
    <w:p w14:paraId="60EEA19A">
      <w:pPr>
        <w:pStyle w:val="12"/>
        <w:jc w:val="center"/>
      </w:pPr>
    </w:p>
    <w:p w14:paraId="04BD1F54">
      <w:pPr>
        <w:ind w:firstLine="420"/>
        <w:jc w:val="center"/>
      </w:pPr>
    </w:p>
    <w:p w14:paraId="6629ECF3">
      <w:pPr>
        <w:ind w:firstLine="1660" w:firstLineChars="593"/>
        <w:jc w:val="center"/>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01EECFC1">
      <w:pPr>
        <w:ind w:firstLine="1660" w:firstLineChars="593"/>
        <w:jc w:val="center"/>
        <w:rPr>
          <w:rFonts w:ascii="宋体" w:hAnsi="宋体"/>
          <w:sz w:val="28"/>
          <w:szCs w:val="21"/>
        </w:rPr>
      </w:pPr>
    </w:p>
    <w:p w14:paraId="792C8924">
      <w:pPr>
        <w:ind w:firstLine="1660" w:firstLineChars="593"/>
        <w:jc w:val="center"/>
        <w:rPr>
          <w:rFonts w:ascii="宋体" w:hAnsi="宋体"/>
          <w:sz w:val="28"/>
          <w:szCs w:val="21"/>
        </w:rPr>
      </w:pPr>
      <w:r>
        <w:rPr>
          <w:rFonts w:hint="eastAsia" w:ascii="宋体" w:hAnsi="宋体"/>
          <w:sz w:val="28"/>
          <w:szCs w:val="21"/>
        </w:rPr>
        <w:t>年    月   日</w:t>
      </w:r>
    </w:p>
    <w:p w14:paraId="67C0F3F2"/>
    <w:p w14:paraId="5E68F4E6">
      <w:pPr>
        <w:pStyle w:val="12"/>
        <w:sectPr>
          <w:pgSz w:w="11906" w:h="16838"/>
          <w:pgMar w:top="1531" w:right="1304" w:bottom="1418" w:left="1418" w:header="851" w:footer="992" w:gutter="0"/>
          <w:cols w:space="720" w:num="1"/>
          <w:docGrid w:linePitch="435" w:charSpace="0"/>
        </w:sectPr>
      </w:pPr>
    </w:p>
    <w:p w14:paraId="460E8B1D"/>
    <w:p w14:paraId="745CF0D5"/>
    <w:p w14:paraId="074749D7">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36B59DD8">
      <w:pPr>
        <w:pStyle w:val="7"/>
        <w:ind w:firstLine="640"/>
        <w:rPr>
          <w:rFonts w:ascii="宋体" w:hAnsi="宋体"/>
        </w:rPr>
      </w:pPr>
    </w:p>
    <w:p w14:paraId="4EA544F1">
      <w:pPr>
        <w:pStyle w:val="7"/>
        <w:ind w:firstLine="560"/>
        <w:rPr>
          <w:rFonts w:hint="eastAsia" w:ascii="宋体" w:hAnsi="宋体"/>
        </w:rPr>
      </w:pPr>
      <w:r>
        <w:rPr>
          <w:rFonts w:hint="eastAsia" w:ascii="宋体" w:hAnsi="宋体"/>
        </w:rPr>
        <w:t>一、投标函</w:t>
      </w:r>
    </w:p>
    <w:p w14:paraId="67C1AAE9">
      <w:pPr>
        <w:pStyle w:val="7"/>
        <w:ind w:firstLine="560"/>
        <w:rPr>
          <w:rFonts w:hint="eastAsia" w:ascii="宋体" w:hAnsi="宋体"/>
        </w:rPr>
      </w:pPr>
      <w:r>
        <w:rPr>
          <w:rFonts w:hint="eastAsia" w:ascii="宋体" w:hAnsi="宋体"/>
        </w:rPr>
        <w:t>二、开标一览表</w:t>
      </w:r>
    </w:p>
    <w:p w14:paraId="377DA051">
      <w:pPr>
        <w:pStyle w:val="7"/>
        <w:ind w:firstLine="560"/>
        <w:rPr>
          <w:rFonts w:hint="eastAsia" w:ascii="宋体" w:hAnsi="宋体"/>
        </w:rPr>
      </w:pPr>
      <w:r>
        <w:rPr>
          <w:rFonts w:hint="eastAsia" w:ascii="宋体" w:hAnsi="宋体"/>
        </w:rPr>
        <w:t>三、分项报价表</w:t>
      </w:r>
      <w:r>
        <w:rPr>
          <w:rFonts w:hint="eastAsia" w:ascii="宋体" w:hAnsi="宋体"/>
          <w:highlight w:val="yellow"/>
        </w:rPr>
        <w:t>（本项目不作要求）</w:t>
      </w:r>
    </w:p>
    <w:p w14:paraId="738A7C94">
      <w:pPr>
        <w:pStyle w:val="7"/>
        <w:ind w:firstLine="560"/>
        <w:rPr>
          <w:rFonts w:hint="eastAsia" w:ascii="宋体" w:hAnsi="宋体"/>
        </w:rPr>
      </w:pPr>
      <w:r>
        <w:rPr>
          <w:rFonts w:hint="eastAsia" w:ascii="宋体" w:hAnsi="宋体"/>
        </w:rPr>
        <w:t>四、参数响应表</w:t>
      </w:r>
    </w:p>
    <w:p w14:paraId="393D0FF7">
      <w:pPr>
        <w:pStyle w:val="7"/>
        <w:ind w:firstLine="560"/>
        <w:rPr>
          <w:rFonts w:hint="eastAsia" w:ascii="宋体" w:hAnsi="宋体"/>
        </w:rPr>
      </w:pPr>
      <w:r>
        <w:rPr>
          <w:rFonts w:hint="eastAsia" w:ascii="宋体" w:hAnsi="宋体"/>
        </w:rPr>
        <w:t>五、法定代表人（单位负责人）身份证明、授权委托书</w:t>
      </w:r>
    </w:p>
    <w:p w14:paraId="494BEECA">
      <w:pPr>
        <w:pStyle w:val="7"/>
        <w:ind w:firstLine="560"/>
        <w:rPr>
          <w:rFonts w:hint="eastAsia" w:ascii="宋体" w:hAnsi="宋体"/>
        </w:rPr>
      </w:pPr>
      <w:r>
        <w:rPr>
          <w:rFonts w:hint="eastAsia" w:ascii="宋体" w:hAnsi="宋体"/>
        </w:rPr>
        <w:t>六、无重大违法记录声明函</w:t>
      </w:r>
    </w:p>
    <w:p w14:paraId="0181278F">
      <w:pPr>
        <w:pStyle w:val="7"/>
        <w:ind w:firstLine="560"/>
        <w:rPr>
          <w:rFonts w:hint="eastAsia" w:ascii="宋体" w:hAnsi="宋体"/>
        </w:rPr>
      </w:pPr>
      <w:r>
        <w:rPr>
          <w:rFonts w:hint="eastAsia" w:ascii="宋体" w:hAnsi="宋体"/>
        </w:rPr>
        <w:t>七、资格证明文件</w:t>
      </w:r>
    </w:p>
    <w:p w14:paraId="2FF2ED85">
      <w:pPr>
        <w:pStyle w:val="7"/>
        <w:ind w:firstLine="560"/>
        <w:rPr>
          <w:rFonts w:hint="eastAsia" w:ascii="宋体" w:hAnsi="宋体"/>
        </w:rPr>
      </w:pPr>
      <w:r>
        <w:rPr>
          <w:rFonts w:hint="eastAsia" w:ascii="宋体" w:hAnsi="宋体"/>
        </w:rPr>
        <w:t>八、业绩证明材料</w:t>
      </w:r>
      <w:r>
        <w:rPr>
          <w:rFonts w:hint="eastAsia" w:ascii="宋体" w:hAnsi="宋体"/>
          <w:highlight w:val="yellow"/>
        </w:rPr>
        <w:t>（本项目不作要求）</w:t>
      </w:r>
    </w:p>
    <w:p w14:paraId="5A5517BC">
      <w:pPr>
        <w:pStyle w:val="7"/>
        <w:ind w:firstLine="560"/>
        <w:rPr>
          <w:rFonts w:hint="eastAsia" w:ascii="微软雅黑" w:hAnsi="微软雅黑" w:eastAsia="微软雅黑"/>
          <w:sz w:val="28"/>
        </w:rPr>
      </w:pPr>
      <w:r>
        <w:rPr>
          <w:rFonts w:hint="eastAsia" w:ascii="宋体" w:hAnsi="宋体"/>
        </w:rPr>
        <w:t>九、报价人认为需要提供的其他材料</w:t>
      </w:r>
    </w:p>
    <w:p w14:paraId="6B0F5EAE">
      <w:pPr>
        <w:pStyle w:val="7"/>
        <w:ind w:firstLine="560"/>
        <w:rPr>
          <w:rFonts w:ascii="微软雅黑" w:hAnsi="微软雅黑" w:eastAsia="微软雅黑"/>
          <w:sz w:val="28"/>
        </w:rPr>
      </w:pPr>
    </w:p>
    <w:p w14:paraId="3E3BEE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367D2D45">
      <w:pPr>
        <w:ind w:firstLine="720"/>
        <w:rPr>
          <w:rFonts w:ascii="方正小标宋简体" w:hAnsi="宋体" w:eastAsia="方正小标宋简体"/>
          <w:sz w:val="36"/>
        </w:rPr>
      </w:pPr>
    </w:p>
    <w:p w14:paraId="72992186"/>
    <w:p w14:paraId="0E9474C9"/>
    <w:p w14:paraId="11AB80C1">
      <w:pPr>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44E1C949">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4269B479">
      <w:pPr>
        <w:spacing w:line="400" w:lineRule="exact"/>
        <w:rPr>
          <w:rFonts w:ascii="宋体" w:hAnsi="宋体"/>
          <w:sz w:val="24"/>
        </w:rPr>
      </w:pPr>
      <w:r>
        <w:rPr>
          <w:rFonts w:hint="eastAsia" w:ascii="宋体" w:hAnsi="宋体"/>
          <w:sz w:val="24"/>
        </w:rPr>
        <w:t xml:space="preserve">致：涡阳县人民医院 </w:t>
      </w:r>
    </w:p>
    <w:p w14:paraId="20839D68">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D2C1781">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6AD945AB">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63DAEE5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9A3DEA1">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5ACBE27C">
      <w:pPr>
        <w:spacing w:line="400" w:lineRule="exact"/>
        <w:ind w:firstLine="480"/>
        <w:rPr>
          <w:rFonts w:ascii="宋体" w:hAnsi="宋体"/>
          <w:sz w:val="24"/>
        </w:rPr>
      </w:pPr>
      <w:r>
        <w:rPr>
          <w:rFonts w:hint="eastAsia" w:ascii="宋体" w:hAnsi="宋体"/>
          <w:sz w:val="24"/>
        </w:rPr>
        <w:t>6.如我方中标：</w:t>
      </w:r>
    </w:p>
    <w:p w14:paraId="7CD0F1CE">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C0BD2">
      <w:pPr>
        <w:spacing w:line="400" w:lineRule="exact"/>
        <w:ind w:firstLine="480"/>
        <w:rPr>
          <w:rFonts w:ascii="宋体" w:hAnsi="宋体"/>
          <w:sz w:val="24"/>
        </w:rPr>
      </w:pPr>
      <w:r>
        <w:rPr>
          <w:rFonts w:hint="eastAsia" w:ascii="宋体" w:hAnsi="宋体"/>
          <w:sz w:val="24"/>
        </w:rPr>
        <w:t>（2）在签订合同时不向你方提出附加条件；</w:t>
      </w:r>
    </w:p>
    <w:p w14:paraId="5973D074">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3F8A4EAD">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B41BC00">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2016735">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E7E9F72">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C3327D">
      <w:pPr>
        <w:tabs>
          <w:tab w:val="left" w:leader="underscore" w:pos="3600"/>
          <w:tab w:val="left" w:leader="underscore" w:pos="5400"/>
        </w:tabs>
        <w:spacing w:line="400" w:lineRule="exact"/>
        <w:ind w:firstLine="482"/>
        <w:rPr>
          <w:rFonts w:ascii="宋体" w:hAnsi="宋体"/>
          <w:b/>
          <w:sz w:val="24"/>
        </w:rPr>
      </w:pPr>
    </w:p>
    <w:p w14:paraId="65837C0B">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583334CE">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b/>
          <w:color w:val="FF0000"/>
          <w:sz w:val="24"/>
        </w:rPr>
        <w:t>签字或盖章</w:t>
      </w:r>
      <w:r>
        <w:rPr>
          <w:rFonts w:hint="eastAsia" w:ascii="宋体" w:hAnsi="宋体"/>
          <w:sz w:val="24"/>
        </w:rPr>
        <w:t xml:space="preserve">） </w:t>
      </w:r>
    </w:p>
    <w:p w14:paraId="3969088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1E0FF12">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E51E45B">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32A83E01">
      <w:pPr>
        <w:pStyle w:val="30"/>
        <w:spacing w:line="200" w:lineRule="atLeast"/>
        <w:ind w:firstLine="48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602FC0F4">
      <w:pPr>
        <w:pStyle w:val="30"/>
        <w:spacing w:line="200" w:lineRule="atLeast"/>
        <w:ind w:firstLine="480"/>
        <w:rPr>
          <w:rFonts w:hint="eastAsia" w:ascii="宋体" w:hAnsi="宋体"/>
          <w:sz w:val="24"/>
        </w:rPr>
      </w:pPr>
    </w:p>
    <w:p w14:paraId="054CBD28">
      <w:pPr>
        <w:tabs>
          <w:tab w:val="left" w:leader="underscore" w:pos="3600"/>
          <w:tab w:val="left" w:leader="underscore" w:pos="5400"/>
        </w:tabs>
        <w:spacing w:line="400" w:lineRule="exact"/>
        <w:ind w:firstLine="482"/>
        <w:rPr>
          <w:rFonts w:hint="eastAsia" w:ascii="宋体" w:hAnsi="宋体"/>
          <w:b/>
          <w:sz w:val="24"/>
        </w:rPr>
      </w:pPr>
      <w:r>
        <w:rPr>
          <w:rFonts w:hint="eastAsia" w:ascii="宋体" w:hAnsi="宋体"/>
          <w:b/>
          <w:sz w:val="24"/>
        </w:rPr>
        <w:t>注：1.采用资格预审的，资格审查资料如有更新或补充，报价人应在第 9 条中说明。</w:t>
      </w:r>
    </w:p>
    <w:p w14:paraId="6BD61587">
      <w:pPr>
        <w:rPr>
          <w:rFonts w:ascii="楷体_GB2312" w:eastAsia="楷体_GB2312"/>
          <w:b/>
          <w:sz w:val="24"/>
        </w:rPr>
      </w:pPr>
      <w:r>
        <w:rPr>
          <w:rFonts w:hint="eastAsia"/>
        </w:rPr>
        <w:t xml:space="preserve">  </w:t>
      </w:r>
      <w:r>
        <w:rPr>
          <w:rFonts w:hint="eastAsia"/>
          <w:b/>
        </w:rPr>
        <w:t xml:space="preserve">   </w:t>
      </w:r>
      <w:r>
        <w:rPr>
          <w:rFonts w:hint="eastAsia"/>
          <w:b/>
          <w:lang w:val="en-US" w:eastAsia="zh-CN"/>
        </w:rPr>
        <w:t xml:space="preserve">   </w:t>
      </w:r>
      <w:r>
        <w:rPr>
          <w:rFonts w:hint="eastAsia" w:ascii="楷体_GB2312" w:eastAsia="楷体_GB2312"/>
          <w:b/>
          <w:sz w:val="24"/>
        </w:rPr>
        <w:t>2.报价人签字盖章后，即视为响应本采购文件响应承诺。</w:t>
      </w:r>
    </w:p>
    <w:p w14:paraId="282DA508"/>
    <w:p w14:paraId="64DEB7C4">
      <w:pPr>
        <w:spacing w:line="240" w:lineRule="atLeast"/>
        <w:jc w:val="center"/>
        <w:rPr>
          <w:rFonts w:hint="eastAsia"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8FC27CA">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544FBCA">
      <w:pPr>
        <w:spacing w:line="333" w:lineRule="atLeast"/>
        <w:ind w:firstLine="416"/>
        <w:jc w:val="right"/>
        <w:rPr>
          <w:rFonts w:ascii="Calibri" w:hAnsi="宋体" w:eastAsia="Calibri"/>
          <w:kern w:val="0"/>
        </w:rPr>
      </w:pPr>
      <w:r>
        <w:rPr>
          <w:rFonts w:hint="eastAsia" w:ascii="微软雅黑" w:hAnsi="微软雅黑" w:eastAsia="微软雅黑" w:cs="微软雅黑"/>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188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11AC155">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序</w:t>
            </w:r>
            <w:r>
              <w:rPr>
                <w:rFonts w:ascii="Calibri" w:hAnsi="宋体" w:eastAsia="Calibri"/>
                <w:b/>
                <w:kern w:val="0"/>
                <w:sz w:val="24"/>
              </w:rPr>
              <w:t>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7328A98">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项</w:t>
            </w:r>
            <w:r>
              <w:rPr>
                <w:rFonts w:ascii="Calibri" w:hAnsi="宋体" w:eastAsia="Calibri"/>
                <w:b/>
                <w:kern w:val="0"/>
                <w:sz w:val="24"/>
              </w:rPr>
              <w:t>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0299AB37">
            <w:pPr>
              <w:adjustRightInd w:val="0"/>
              <w:snapToGrid w:val="0"/>
              <w:jc w:val="center"/>
              <w:rPr>
                <w:rFonts w:ascii="Calibri" w:hAnsi="宋体" w:eastAsia="Calibri"/>
                <w:b/>
                <w:kern w:val="0"/>
                <w:sz w:val="24"/>
              </w:rPr>
            </w:pPr>
            <w:r>
              <w:rPr>
                <w:rFonts w:hint="eastAsia" w:ascii="微软雅黑" w:hAnsi="微软雅黑" w:eastAsia="微软雅黑" w:cs="微软雅黑"/>
                <w:b/>
                <w:kern w:val="0"/>
                <w:sz w:val="24"/>
              </w:rPr>
              <w:t>内</w:t>
            </w:r>
            <w:r>
              <w:rPr>
                <w:rFonts w:ascii="Calibri" w:hAnsi="宋体" w:eastAsia="Calibri"/>
                <w:b/>
                <w:kern w:val="0"/>
                <w:sz w:val="24"/>
              </w:rPr>
              <w:t>容</w:t>
            </w:r>
          </w:p>
        </w:tc>
      </w:tr>
      <w:tr w14:paraId="258A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F48A7DA">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744B897">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项</w:t>
            </w:r>
            <w:r>
              <w:rPr>
                <w:rFonts w:ascii="Calibri" w:hAnsi="宋体" w:eastAsia="Calibri"/>
                <w:kern w:val="0"/>
                <w:sz w:val="24"/>
              </w:rPr>
              <w:t>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5E699F55">
            <w:pPr>
              <w:adjustRightInd w:val="0"/>
              <w:snapToGrid w:val="0"/>
              <w:rPr>
                <w:rFonts w:hint="default" w:ascii="Calibri" w:hAnsi="宋体" w:eastAsia="等线"/>
                <w:kern w:val="0"/>
                <w:sz w:val="24"/>
                <w:lang w:val="en-US" w:eastAsia="zh-CN"/>
              </w:rPr>
            </w:pPr>
            <w:r>
              <w:rPr>
                <w:rFonts w:hint="eastAsia"/>
                <w:sz w:val="24"/>
              </w:rPr>
              <w:t>涡阳县人民医院</w:t>
            </w:r>
            <w:r>
              <w:rPr>
                <w:rFonts w:hint="eastAsia"/>
                <w:sz w:val="24"/>
                <w:lang w:eastAsia="zh-CN"/>
              </w:rPr>
              <w:t>防统方管理系统软件</w:t>
            </w:r>
          </w:p>
        </w:tc>
      </w:tr>
      <w:tr w14:paraId="385D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4890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35EF9A2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招</w:t>
            </w:r>
            <w:r>
              <w:rPr>
                <w:rFonts w:ascii="Calibri" w:hAnsi="宋体" w:eastAsia="Calibri"/>
                <w:kern w:val="0"/>
                <w:sz w:val="24"/>
              </w:rPr>
              <w:t>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6161E214">
            <w:pPr>
              <w:adjustRightInd w:val="0"/>
              <w:snapToGrid w:val="0"/>
              <w:rPr>
                <w:rFonts w:ascii="Calibri" w:hAnsi="宋体" w:eastAsia="Calibri"/>
                <w:kern w:val="0"/>
                <w:sz w:val="24"/>
              </w:rPr>
            </w:pPr>
          </w:p>
        </w:tc>
      </w:tr>
      <w:tr w14:paraId="11BA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715298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BE77C0B">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分</w:t>
            </w:r>
            <w:r>
              <w:rPr>
                <w:rFonts w:ascii="Calibri" w:hAnsi="宋体" w:eastAsia="Calibri"/>
                <w:kern w:val="0"/>
                <w:sz w:val="24"/>
              </w:rPr>
              <w:t>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2F943C8E">
            <w:pPr>
              <w:adjustRightInd w:val="0"/>
              <w:snapToGrid w:val="0"/>
              <w:rPr>
                <w:rFonts w:ascii="Calibri" w:hAnsi="宋体" w:eastAsia="Calibri"/>
                <w:kern w:val="0"/>
                <w:sz w:val="24"/>
              </w:rPr>
            </w:pPr>
          </w:p>
        </w:tc>
      </w:tr>
      <w:tr w14:paraId="48F7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5E5DA05">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06FA7E5E">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w:t>
            </w:r>
          </w:p>
          <w:p w14:paraId="18964801">
            <w:pPr>
              <w:adjustRightInd w:val="0"/>
              <w:snapToGrid w:val="0"/>
              <w:jc w:val="center"/>
              <w:rPr>
                <w:rFonts w:ascii="Calibri" w:hAnsi="宋体" w:eastAsia="Calibri"/>
                <w:kern w:val="0"/>
                <w:sz w:val="24"/>
              </w:rPr>
            </w:pPr>
            <w:r>
              <w:rPr>
                <w:rFonts w:hint="eastAsia" w:ascii="微软雅黑" w:hAnsi="微软雅黑" w:eastAsia="微软雅黑" w:cs="微软雅黑"/>
                <w:kern w:val="0"/>
                <w:sz w:val="24"/>
              </w:rPr>
              <w:t>投</w:t>
            </w:r>
            <w:r>
              <w:rPr>
                <w:rFonts w:ascii="Calibri" w:hAnsi="宋体" w:eastAsia="Calibri"/>
                <w:kern w:val="0"/>
                <w:sz w:val="24"/>
              </w:rPr>
              <w:t>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7DC58F19">
            <w:pPr>
              <w:adjustRightInd w:val="0"/>
              <w:snapToGrid w:val="0"/>
              <w:rPr>
                <w:rFonts w:ascii="Calibri" w:hAnsi="宋体" w:eastAsia="Calibri"/>
                <w:kern w:val="0"/>
                <w:sz w:val="24"/>
              </w:rPr>
            </w:pPr>
          </w:p>
        </w:tc>
      </w:tr>
      <w:tr w14:paraId="79F4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9E58E88">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04C89692">
            <w:pPr>
              <w:adjustRightInd w:val="0"/>
              <w:snapToGrid w:val="0"/>
              <w:jc w:val="center"/>
              <w:rPr>
                <w:rFonts w:ascii="宋体" w:hAnsi="宋体"/>
                <w:kern w:val="0"/>
                <w:sz w:val="24"/>
              </w:rPr>
            </w:pPr>
            <w:r>
              <w:rPr>
                <w:rFonts w:hint="eastAsia" w:ascii="Calibri" w:hAnsi="宋体"/>
                <w:kern w:val="0"/>
                <w:sz w:val="24"/>
                <w:lang w:val="en-US" w:eastAsia="zh-CN"/>
              </w:rPr>
              <w:t>建设工程</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0F318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lang w:eastAsia="zh-CN"/>
              </w:rPr>
              <w:t>☑</w:t>
            </w:r>
            <w:r>
              <w:rPr>
                <w:rFonts w:hint="eastAsia" w:ascii="Calibri" w:hAnsi="宋体"/>
                <w:kern w:val="0"/>
                <w:sz w:val="24"/>
              </w:rPr>
              <w:t>不响应</w:t>
            </w:r>
          </w:p>
        </w:tc>
      </w:tr>
      <w:tr w14:paraId="1E54C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B157F1B">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76575F12">
            <w:pPr>
              <w:adjustRightInd w:val="0"/>
              <w:snapToGrid w:val="0"/>
              <w:jc w:val="center"/>
              <w:rPr>
                <w:rFonts w:ascii="Calibri" w:hAnsi="宋体"/>
                <w:kern w:val="0"/>
                <w:sz w:val="24"/>
              </w:rPr>
            </w:pPr>
            <w:r>
              <w:rPr>
                <w:rFonts w:hint="eastAsia" w:ascii="微软雅黑" w:hAnsi="微软雅黑" w:eastAsia="微软雅黑" w:cs="微软雅黑"/>
                <w:kern w:val="0"/>
                <w:sz w:val="24"/>
              </w:rPr>
              <w:t>付</w:t>
            </w:r>
            <w:r>
              <w:rPr>
                <w:rFonts w:ascii="Calibri" w:hAnsi="宋体" w:eastAsia="Calibri"/>
                <w:kern w:val="0"/>
                <w:sz w:val="24"/>
              </w:rPr>
              <w:t>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2F51E14">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E27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79B6B6">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00BBB09">
            <w:pPr>
              <w:adjustRightInd w:val="0"/>
              <w:snapToGrid w:val="0"/>
              <w:jc w:val="center"/>
              <w:rPr>
                <w:rFonts w:ascii="Calibri" w:hAnsi="宋体"/>
                <w:kern w:val="0"/>
                <w:sz w:val="24"/>
              </w:rPr>
            </w:pPr>
            <w:r>
              <w:rPr>
                <w:rFonts w:hint="eastAsia" w:ascii="微软雅黑" w:hAnsi="微软雅黑" w:eastAsia="微软雅黑" w:cs="微软雅黑"/>
                <w:kern w:val="0"/>
                <w:sz w:val="24"/>
              </w:rPr>
              <w:t>其</w:t>
            </w:r>
            <w:r>
              <w:rPr>
                <w:rFonts w:ascii="Calibri" w:hAnsi="宋体" w:eastAsia="Calibri"/>
                <w:kern w:val="0"/>
                <w:sz w:val="24"/>
              </w:rPr>
              <w:t>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9A16E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F0D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D33183">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8D2275A">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0B62A86">
            <w:pPr>
              <w:adjustRightInd w:val="0"/>
              <w:snapToGrid w:val="0"/>
              <w:rPr>
                <w:rFonts w:ascii="Calibri" w:hAnsi="宋体" w:eastAsia="Calibri"/>
                <w:kern w:val="0"/>
                <w:sz w:val="24"/>
              </w:rPr>
            </w:pPr>
          </w:p>
        </w:tc>
      </w:tr>
      <w:tr w14:paraId="14A8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15A00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48A320D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8DC9E90">
            <w:pPr>
              <w:adjustRightInd w:val="0"/>
              <w:snapToGrid w:val="0"/>
              <w:rPr>
                <w:sz w:val="24"/>
                <w:highlight w:val="yellow"/>
              </w:rPr>
            </w:pPr>
          </w:p>
        </w:tc>
      </w:tr>
      <w:tr w14:paraId="5135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2D95A2F">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1B94829">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73E2AA">
            <w:pPr>
              <w:adjustRightInd w:val="0"/>
              <w:snapToGrid w:val="0"/>
              <w:rPr>
                <w:sz w:val="24"/>
                <w:highlight w:val="yellow"/>
              </w:rPr>
            </w:pPr>
          </w:p>
        </w:tc>
      </w:tr>
      <w:tr w14:paraId="212BC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7DB71B4">
            <w:pPr>
              <w:adjustRightInd w:val="0"/>
              <w:snapToGrid w:val="0"/>
              <w:rPr>
                <w:rFonts w:ascii="宋体" w:hAnsi="宋体"/>
                <w:kern w:val="0"/>
                <w:sz w:val="24"/>
              </w:rPr>
            </w:pPr>
            <w:r>
              <w:rPr>
                <w:rFonts w:hint="eastAsia" w:ascii="微软雅黑" w:hAnsi="微软雅黑" w:eastAsia="微软雅黑" w:cs="微软雅黑"/>
                <w:kern w:val="0"/>
                <w:sz w:val="24"/>
              </w:rPr>
              <w:t>注</w:t>
            </w:r>
            <w:r>
              <w:rPr>
                <w:rFonts w:ascii="Calibri" w:hAnsi="宋体" w:eastAsia="Calibri"/>
                <w:kern w:val="0"/>
                <w:sz w:val="24"/>
              </w:rPr>
              <w:t>：</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2891D5E5">
      <w:pPr>
        <w:rPr>
          <w:rFonts w:ascii="宋体" w:hAnsi="宋体" w:eastAsia="宋体"/>
          <w:kern w:val="0"/>
          <w:sz w:val="24"/>
        </w:rPr>
      </w:pPr>
    </w:p>
    <w:p w14:paraId="56F1FC64">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204640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664C3028">
      <w:pPr>
        <w:spacing w:line="600" w:lineRule="exact"/>
        <w:ind w:firstLine="5376" w:firstLineChars="2240"/>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7F9673BB">
      <w:pPr>
        <w:rPr>
          <w:rFonts w:ascii="宋体" w:hAnsi="宋体" w:eastAsia="宋体"/>
          <w:sz w:val="24"/>
        </w:rPr>
      </w:pPr>
    </w:p>
    <w:p w14:paraId="50388EF0">
      <w:pPr>
        <w:spacing w:line="240" w:lineRule="atLeast"/>
        <w:jc w:val="center"/>
        <w:rPr>
          <w:rFonts w:ascii="方正小标宋简体" w:hAnsi="宋体" w:eastAsia="方正小标宋简体"/>
          <w:sz w:val="32"/>
        </w:rPr>
        <w:sectPr>
          <w:pgSz w:w="11906" w:h="16838"/>
          <w:pgMar w:top="1531" w:right="1304" w:bottom="1417" w:left="1418" w:header="851" w:footer="992" w:gutter="0"/>
          <w:cols w:space="0" w:num="1"/>
          <w:rtlGutter w:val="0"/>
          <w:docGrid w:linePitch="435" w:charSpace="0"/>
        </w:sectPr>
      </w:pPr>
    </w:p>
    <w:p w14:paraId="05B9158E">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3BC904B4">
      <w:pPr>
        <w:jc w:val="center"/>
        <w:rPr>
          <w:rFonts w:ascii="宋体" w:hAnsi="宋体"/>
          <w:kern w:val="0"/>
          <w:sz w:val="28"/>
        </w:rPr>
      </w:pPr>
      <w:r>
        <w:rPr>
          <w:rFonts w:hint="eastAsia" w:ascii="宋体" w:hAnsi="宋体"/>
          <w:kern w:val="0"/>
          <w:sz w:val="28"/>
        </w:rPr>
        <w:t>表3-1  分项报价表</w:t>
      </w:r>
    </w:p>
    <w:p w14:paraId="7F726065">
      <w:pPr>
        <w:pStyle w:val="12"/>
        <w:rPr>
          <w:rFonts w:hint="eastAsia" w:ascii="宋体" w:hAnsi="宋体"/>
          <w:sz w:val="24"/>
        </w:rPr>
      </w:pPr>
      <w:r>
        <w:rPr>
          <w:rFonts w:hint="eastAsia" w:ascii="宋体" w:hAnsi="宋体"/>
          <w:sz w:val="24"/>
        </w:rPr>
        <w:t>报价人</w:t>
      </w:r>
      <w:r>
        <w:rPr>
          <w:rFonts w:hint="eastAsia" w:ascii="宋体" w:hAnsi="宋体" w:cs="微软雅黑"/>
          <w:sz w:val="24"/>
        </w:rPr>
        <w:t>：</w:t>
      </w:r>
      <w:r>
        <w:rPr>
          <w:rFonts w:ascii="宋体" w:hAnsi="宋体"/>
          <w:spacing w:val="42"/>
          <w:sz w:val="24"/>
          <w:u w:val="single"/>
        </w:rPr>
        <w:t xml:space="preserve"> </w:t>
      </w:r>
      <w:r>
        <w:rPr>
          <w:rFonts w:ascii="宋体" w:hAnsi="宋体"/>
          <w:sz w:val="24"/>
          <w:u w:val="single"/>
        </w:rPr>
        <w:t xml:space="preserve">                      </w:t>
      </w:r>
      <w:r>
        <w:rPr>
          <w:rFonts w:hint="eastAsia" w:ascii="宋体" w:hAnsi="宋体" w:cs="微软雅黑"/>
          <w:sz w:val="24"/>
        </w:rPr>
        <w:t>（</w:t>
      </w:r>
      <w:r>
        <w:rPr>
          <w:rFonts w:ascii="宋体" w:hAnsi="宋体"/>
          <w:color w:val="FF0000"/>
          <w:sz w:val="24"/>
        </w:rPr>
        <w:t>单位盖章</w:t>
      </w:r>
      <w:r>
        <w:rPr>
          <w:rFonts w:hint="eastAsia" w:ascii="宋体" w:hAnsi="宋体" w:cs="微软雅黑"/>
          <w:sz w:val="24"/>
        </w:rPr>
        <w:t>）</w:t>
      </w:r>
      <w:r>
        <w:rPr>
          <w:rFonts w:hint="eastAsia" w:ascii="宋体" w:hAnsi="宋体"/>
          <w:sz w:val="24"/>
        </w:rPr>
        <w:t xml:space="preserve">                                             价格单位：人民币·元</w:t>
      </w:r>
    </w:p>
    <w:tbl>
      <w:tblPr>
        <w:tblStyle w:val="14"/>
        <w:tblW w:w="14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068"/>
        <w:gridCol w:w="1968"/>
        <w:gridCol w:w="2077"/>
        <w:gridCol w:w="1261"/>
        <w:gridCol w:w="1003"/>
        <w:gridCol w:w="1489"/>
        <w:gridCol w:w="1322"/>
        <w:gridCol w:w="2305"/>
      </w:tblGrid>
      <w:tr w14:paraId="3B4F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843" w:type="dxa"/>
            <w:vAlign w:val="center"/>
          </w:tcPr>
          <w:p w14:paraId="46D17DBC">
            <w:pPr>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68" w:type="dxa"/>
            <w:vAlign w:val="center"/>
          </w:tcPr>
          <w:p w14:paraId="0F38505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品名</w:t>
            </w:r>
          </w:p>
        </w:tc>
        <w:tc>
          <w:tcPr>
            <w:tcW w:w="1968" w:type="dxa"/>
            <w:vAlign w:val="center"/>
          </w:tcPr>
          <w:p w14:paraId="70CB0CD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w:t>
            </w:r>
          </w:p>
        </w:tc>
        <w:tc>
          <w:tcPr>
            <w:tcW w:w="2077" w:type="dxa"/>
            <w:vAlign w:val="center"/>
          </w:tcPr>
          <w:p w14:paraId="47A303A3">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1261" w:type="dxa"/>
            <w:vAlign w:val="center"/>
          </w:tcPr>
          <w:p w14:paraId="3949B97E">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003" w:type="dxa"/>
            <w:vAlign w:val="center"/>
          </w:tcPr>
          <w:p w14:paraId="4DA04001">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489" w:type="dxa"/>
          </w:tcPr>
          <w:p w14:paraId="4723579C">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报价</w:t>
            </w:r>
          </w:p>
        </w:tc>
        <w:tc>
          <w:tcPr>
            <w:tcW w:w="1322" w:type="dxa"/>
            <w:vAlign w:val="center"/>
          </w:tcPr>
          <w:p w14:paraId="4C803722">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305" w:type="dxa"/>
            <w:vAlign w:val="center"/>
          </w:tcPr>
          <w:p w14:paraId="121F0167">
            <w:p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EA6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43" w:type="dxa"/>
            <w:vAlign w:val="center"/>
          </w:tcPr>
          <w:p w14:paraId="01A25F9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68" w:type="dxa"/>
            <w:vAlign w:val="center"/>
          </w:tcPr>
          <w:p w14:paraId="12338885">
            <w:pPr>
              <w:jc w:val="center"/>
              <w:rPr>
                <w:rFonts w:hint="eastAsia" w:ascii="宋体" w:hAnsi="宋体" w:eastAsia="宋体" w:cs="宋体"/>
                <w:b/>
                <w:color w:val="000000"/>
                <w:kern w:val="0"/>
                <w:sz w:val="24"/>
                <w:szCs w:val="24"/>
                <w:lang w:val="en-US" w:eastAsia="zh-CN"/>
              </w:rPr>
            </w:pPr>
            <w:r>
              <w:rPr>
                <w:rFonts w:hint="eastAsia" w:ascii="宋体" w:hAnsi="宋体" w:eastAsia="宋体" w:cs="宋体"/>
                <w:b w:val="0"/>
                <w:bCs/>
                <w:color w:val="000000" w:themeColor="text1"/>
                <w:kern w:val="0"/>
                <w:sz w:val="24"/>
                <w:szCs w:val="24"/>
                <w:highlight w:val="none"/>
                <w14:textFill>
                  <w14:solidFill>
                    <w14:schemeClr w14:val="tx1"/>
                  </w14:solidFill>
                </w14:textFill>
              </w:rPr>
              <w:t>硬件</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部分</w:t>
            </w:r>
          </w:p>
        </w:tc>
        <w:tc>
          <w:tcPr>
            <w:tcW w:w="1968" w:type="dxa"/>
            <w:vAlign w:val="center"/>
          </w:tcPr>
          <w:p w14:paraId="07EE7520">
            <w:pPr>
              <w:jc w:val="center"/>
              <w:rPr>
                <w:rFonts w:hint="eastAsia" w:ascii="宋体" w:hAnsi="宋体" w:eastAsia="宋体" w:cs="宋体"/>
                <w:color w:val="000000"/>
                <w:kern w:val="0"/>
                <w:sz w:val="24"/>
                <w:szCs w:val="24"/>
              </w:rPr>
            </w:pPr>
          </w:p>
        </w:tc>
        <w:tc>
          <w:tcPr>
            <w:tcW w:w="2077" w:type="dxa"/>
            <w:vAlign w:val="center"/>
          </w:tcPr>
          <w:p w14:paraId="665B95FE">
            <w:pPr>
              <w:jc w:val="center"/>
              <w:rPr>
                <w:rFonts w:hint="eastAsia" w:ascii="宋体" w:hAnsi="宋体" w:eastAsia="宋体" w:cs="宋体"/>
                <w:color w:val="000000"/>
                <w:kern w:val="0"/>
                <w:sz w:val="24"/>
                <w:szCs w:val="24"/>
              </w:rPr>
            </w:pPr>
          </w:p>
        </w:tc>
        <w:tc>
          <w:tcPr>
            <w:tcW w:w="1261" w:type="dxa"/>
            <w:vAlign w:val="center"/>
          </w:tcPr>
          <w:p w14:paraId="6A5AAEC6">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台</w:t>
            </w:r>
          </w:p>
        </w:tc>
        <w:tc>
          <w:tcPr>
            <w:tcW w:w="1003" w:type="dxa"/>
            <w:vAlign w:val="center"/>
          </w:tcPr>
          <w:p w14:paraId="630AEB64">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89" w:type="dxa"/>
          </w:tcPr>
          <w:p w14:paraId="355643BE">
            <w:pPr>
              <w:jc w:val="center"/>
              <w:rPr>
                <w:rFonts w:hint="eastAsia" w:ascii="宋体" w:hAnsi="宋体" w:eastAsia="宋体" w:cs="宋体"/>
                <w:color w:val="000000"/>
                <w:kern w:val="0"/>
                <w:sz w:val="24"/>
                <w:szCs w:val="24"/>
              </w:rPr>
            </w:pPr>
          </w:p>
        </w:tc>
        <w:tc>
          <w:tcPr>
            <w:tcW w:w="1322" w:type="dxa"/>
            <w:vAlign w:val="center"/>
          </w:tcPr>
          <w:p w14:paraId="1A901613">
            <w:pPr>
              <w:jc w:val="center"/>
              <w:rPr>
                <w:rFonts w:hint="eastAsia" w:ascii="宋体" w:hAnsi="宋体" w:eastAsia="宋体" w:cs="宋体"/>
                <w:color w:val="000000"/>
                <w:kern w:val="0"/>
                <w:sz w:val="24"/>
                <w:szCs w:val="24"/>
              </w:rPr>
            </w:pPr>
          </w:p>
        </w:tc>
        <w:tc>
          <w:tcPr>
            <w:tcW w:w="2305" w:type="dxa"/>
            <w:vAlign w:val="center"/>
          </w:tcPr>
          <w:p w14:paraId="67BC2C23">
            <w:pPr>
              <w:jc w:val="center"/>
              <w:rPr>
                <w:rFonts w:hint="eastAsia" w:ascii="宋体" w:hAnsi="宋体" w:eastAsia="宋体" w:cs="宋体"/>
                <w:color w:val="000000"/>
                <w:kern w:val="0"/>
                <w:sz w:val="24"/>
                <w:szCs w:val="24"/>
              </w:rPr>
            </w:pPr>
          </w:p>
        </w:tc>
      </w:tr>
      <w:tr w14:paraId="759B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1A0FD15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68" w:type="dxa"/>
            <w:vAlign w:val="center"/>
          </w:tcPr>
          <w:p w14:paraId="650C8666">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软件部分</w:t>
            </w:r>
          </w:p>
        </w:tc>
        <w:tc>
          <w:tcPr>
            <w:tcW w:w="1968" w:type="dxa"/>
            <w:vAlign w:val="center"/>
          </w:tcPr>
          <w:p w14:paraId="3A5F5AE3">
            <w:pPr>
              <w:jc w:val="center"/>
              <w:rPr>
                <w:rFonts w:hint="eastAsia" w:ascii="宋体" w:hAnsi="宋体" w:eastAsia="宋体" w:cs="宋体"/>
                <w:color w:val="000000"/>
                <w:kern w:val="0"/>
                <w:sz w:val="24"/>
                <w:szCs w:val="24"/>
              </w:rPr>
            </w:pPr>
          </w:p>
        </w:tc>
        <w:tc>
          <w:tcPr>
            <w:tcW w:w="2077" w:type="dxa"/>
            <w:vAlign w:val="center"/>
          </w:tcPr>
          <w:p w14:paraId="048BB50F">
            <w:pPr>
              <w:jc w:val="center"/>
              <w:rPr>
                <w:rFonts w:hint="eastAsia" w:ascii="宋体" w:hAnsi="宋体" w:eastAsia="宋体" w:cs="宋体"/>
                <w:color w:val="000000"/>
                <w:kern w:val="0"/>
                <w:sz w:val="24"/>
                <w:szCs w:val="24"/>
              </w:rPr>
            </w:pPr>
          </w:p>
        </w:tc>
        <w:tc>
          <w:tcPr>
            <w:tcW w:w="1261" w:type="dxa"/>
            <w:vAlign w:val="center"/>
          </w:tcPr>
          <w:p w14:paraId="40E3BD65">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1003" w:type="dxa"/>
            <w:vAlign w:val="center"/>
          </w:tcPr>
          <w:p w14:paraId="3901D90A">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489" w:type="dxa"/>
          </w:tcPr>
          <w:p w14:paraId="29DBB06B">
            <w:pPr>
              <w:jc w:val="center"/>
              <w:rPr>
                <w:rFonts w:hint="eastAsia" w:ascii="宋体" w:hAnsi="宋体" w:eastAsia="宋体" w:cs="宋体"/>
                <w:color w:val="000000"/>
                <w:kern w:val="0"/>
                <w:sz w:val="24"/>
                <w:szCs w:val="24"/>
              </w:rPr>
            </w:pPr>
          </w:p>
        </w:tc>
        <w:tc>
          <w:tcPr>
            <w:tcW w:w="1322" w:type="dxa"/>
            <w:vAlign w:val="center"/>
          </w:tcPr>
          <w:p w14:paraId="4CEB49DF">
            <w:pPr>
              <w:jc w:val="center"/>
              <w:rPr>
                <w:rFonts w:hint="eastAsia" w:ascii="宋体" w:hAnsi="宋体" w:eastAsia="宋体" w:cs="宋体"/>
                <w:color w:val="000000"/>
                <w:kern w:val="0"/>
                <w:sz w:val="24"/>
                <w:szCs w:val="24"/>
              </w:rPr>
            </w:pPr>
          </w:p>
        </w:tc>
        <w:tc>
          <w:tcPr>
            <w:tcW w:w="2305" w:type="dxa"/>
            <w:vAlign w:val="center"/>
          </w:tcPr>
          <w:p w14:paraId="1BF40CB4">
            <w:pPr>
              <w:jc w:val="center"/>
              <w:rPr>
                <w:rFonts w:hint="eastAsia" w:ascii="宋体" w:hAnsi="宋体" w:eastAsia="宋体" w:cs="宋体"/>
                <w:color w:val="000000"/>
                <w:kern w:val="0"/>
                <w:sz w:val="24"/>
                <w:szCs w:val="24"/>
              </w:rPr>
            </w:pPr>
          </w:p>
        </w:tc>
      </w:tr>
      <w:tr w14:paraId="4516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3" w:type="dxa"/>
            <w:vAlign w:val="center"/>
          </w:tcPr>
          <w:p w14:paraId="3B2ADE8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68" w:type="dxa"/>
            <w:vAlign w:val="center"/>
          </w:tcPr>
          <w:p w14:paraId="2C555588">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维护+升级</w:t>
            </w:r>
          </w:p>
        </w:tc>
        <w:tc>
          <w:tcPr>
            <w:tcW w:w="1968" w:type="dxa"/>
            <w:vAlign w:val="center"/>
          </w:tcPr>
          <w:p w14:paraId="525EC7AE">
            <w:pPr>
              <w:jc w:val="center"/>
              <w:rPr>
                <w:rFonts w:hint="eastAsia" w:ascii="宋体" w:hAnsi="宋体" w:eastAsia="宋体" w:cs="宋体"/>
                <w:color w:val="000000"/>
                <w:kern w:val="0"/>
                <w:sz w:val="24"/>
                <w:szCs w:val="24"/>
              </w:rPr>
            </w:pPr>
          </w:p>
        </w:tc>
        <w:tc>
          <w:tcPr>
            <w:tcW w:w="2077" w:type="dxa"/>
            <w:vAlign w:val="center"/>
          </w:tcPr>
          <w:p w14:paraId="2C3D8C86">
            <w:pPr>
              <w:jc w:val="center"/>
              <w:rPr>
                <w:rFonts w:hint="eastAsia" w:ascii="宋体" w:hAnsi="宋体" w:eastAsia="宋体" w:cs="宋体"/>
                <w:color w:val="000000"/>
                <w:kern w:val="0"/>
                <w:sz w:val="24"/>
                <w:szCs w:val="24"/>
              </w:rPr>
            </w:pPr>
          </w:p>
        </w:tc>
        <w:tc>
          <w:tcPr>
            <w:tcW w:w="1261" w:type="dxa"/>
            <w:vAlign w:val="center"/>
          </w:tcPr>
          <w:p w14:paraId="4595AEA6">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年</w:t>
            </w:r>
          </w:p>
        </w:tc>
        <w:tc>
          <w:tcPr>
            <w:tcW w:w="1003" w:type="dxa"/>
            <w:vAlign w:val="center"/>
          </w:tcPr>
          <w:p w14:paraId="04EC7A5B">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489" w:type="dxa"/>
          </w:tcPr>
          <w:p w14:paraId="31EC8F7F">
            <w:pPr>
              <w:jc w:val="center"/>
              <w:rPr>
                <w:rFonts w:hint="eastAsia" w:ascii="宋体" w:hAnsi="宋体" w:eastAsia="宋体" w:cs="宋体"/>
                <w:color w:val="000000"/>
                <w:kern w:val="0"/>
                <w:sz w:val="24"/>
                <w:szCs w:val="24"/>
              </w:rPr>
            </w:pPr>
          </w:p>
        </w:tc>
        <w:tc>
          <w:tcPr>
            <w:tcW w:w="1322" w:type="dxa"/>
            <w:vAlign w:val="center"/>
          </w:tcPr>
          <w:p w14:paraId="15154266">
            <w:pPr>
              <w:jc w:val="center"/>
              <w:rPr>
                <w:rFonts w:hint="eastAsia" w:ascii="宋体" w:hAnsi="宋体" w:eastAsia="宋体" w:cs="宋体"/>
                <w:color w:val="000000"/>
                <w:kern w:val="0"/>
                <w:sz w:val="24"/>
                <w:szCs w:val="24"/>
              </w:rPr>
            </w:pPr>
          </w:p>
        </w:tc>
        <w:tc>
          <w:tcPr>
            <w:tcW w:w="2305" w:type="dxa"/>
            <w:vAlign w:val="center"/>
          </w:tcPr>
          <w:p w14:paraId="0D0CFCBA">
            <w:pPr>
              <w:jc w:val="center"/>
              <w:rPr>
                <w:rFonts w:hint="eastAsia" w:ascii="宋体" w:hAnsi="宋体" w:eastAsia="宋体" w:cs="宋体"/>
                <w:color w:val="000000"/>
                <w:kern w:val="0"/>
                <w:sz w:val="24"/>
                <w:szCs w:val="24"/>
              </w:rPr>
            </w:pPr>
          </w:p>
        </w:tc>
      </w:tr>
      <w:tr w14:paraId="3615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31" w:type="dxa"/>
            <w:gridSpan w:val="8"/>
            <w:vAlign w:val="center"/>
          </w:tcPr>
          <w:p w14:paraId="4DB91336">
            <w:pPr>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合计：</w:t>
            </w:r>
          </w:p>
        </w:tc>
        <w:tc>
          <w:tcPr>
            <w:tcW w:w="2305" w:type="dxa"/>
            <w:noWrap/>
            <w:vAlign w:val="center"/>
          </w:tcPr>
          <w:p w14:paraId="4ADEB17C">
            <w:pPr>
              <w:jc w:val="left"/>
              <w:rPr>
                <w:rFonts w:hint="eastAsia" w:ascii="宋体" w:hAnsi="宋体" w:eastAsia="宋体" w:cs="宋体"/>
                <w:color w:val="000000"/>
                <w:kern w:val="0"/>
                <w:sz w:val="24"/>
                <w:szCs w:val="24"/>
              </w:rPr>
            </w:pPr>
          </w:p>
        </w:tc>
      </w:tr>
    </w:tbl>
    <w:p w14:paraId="5BDB280E">
      <w:pPr>
        <w:pStyle w:val="6"/>
        <w:spacing w:line="460" w:lineRule="exact"/>
        <w:ind w:firstLine="482"/>
        <w:rPr>
          <w:rFonts w:ascii="宋体" w:hAnsi="宋体"/>
          <w:spacing w:val="12"/>
          <w:kern w:val="0"/>
          <w:sz w:val="24"/>
          <w:szCs w:val="24"/>
        </w:rPr>
        <w:sectPr>
          <w:pgSz w:w="16838" w:h="11906" w:orient="landscape"/>
          <w:pgMar w:top="1134" w:right="1134" w:bottom="1134" w:left="1134" w:header="851" w:footer="850" w:gutter="0"/>
          <w:cols w:space="720" w:num="1"/>
          <w:docGrid w:linePitch="286" w:charSpace="0"/>
        </w:sectPr>
      </w:pPr>
      <w:r>
        <w:rPr>
          <w:rFonts w:hint="eastAsia" w:ascii="宋体" w:hAnsi="宋体" w:cs="宋体"/>
          <w:b/>
          <w:bCs/>
          <w:color w:val="000000"/>
          <w:sz w:val="24"/>
          <w:szCs w:val="24"/>
        </w:rPr>
        <w:t>说明：</w:t>
      </w:r>
      <w:r>
        <w:rPr>
          <w:rFonts w:hint="eastAsia" w:ascii="宋体" w:hAnsi="宋体"/>
          <w:spacing w:val="12"/>
          <w:kern w:val="0"/>
          <w:sz w:val="24"/>
          <w:szCs w:val="24"/>
        </w:rPr>
        <w:t>报价为全费用单价报价</w:t>
      </w:r>
    </w:p>
    <w:p w14:paraId="31F3458F">
      <w:pPr>
        <w:jc w:val="center"/>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、技术要求响应（偏离）表</w:t>
      </w:r>
    </w:p>
    <w:p w14:paraId="7957BF5D">
      <w:pPr>
        <w:spacing w:line="460" w:lineRule="exact"/>
        <w:ind w:firstLine="560"/>
        <w:jc w:val="center"/>
        <w:rPr>
          <w:color w:val="000000"/>
        </w:rPr>
      </w:pPr>
      <w:r>
        <w:rPr>
          <w:rFonts w:hint="eastAsia"/>
          <w:color w:val="000000"/>
          <w:sz w:val="28"/>
        </w:rPr>
        <w:t>（投标人可根据本项目实际需要作适当改动）</w:t>
      </w:r>
    </w:p>
    <w:p w14:paraId="0B56D57D">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07D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39BA5CCD">
            <w:pPr>
              <w:spacing w:line="360" w:lineRule="exact"/>
              <w:jc w:val="center"/>
              <w:rPr>
                <w:rFonts w:ascii="宋体" w:hAnsi="宋体" w:cs="宋体"/>
                <w:color w:val="000000"/>
                <w:sz w:val="22"/>
              </w:rPr>
            </w:pPr>
          </w:p>
        </w:tc>
        <w:tc>
          <w:tcPr>
            <w:tcW w:w="7013" w:type="dxa"/>
            <w:gridSpan w:val="2"/>
            <w:vAlign w:val="center"/>
          </w:tcPr>
          <w:p w14:paraId="3E74BB18">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23BD13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518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2B909C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D6D3108">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366BAB56">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41302B4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7071BC47">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4F8628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1D62531C">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AF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68B525E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75F27B2">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79A0716A">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40BC0D54">
            <w:pPr>
              <w:spacing w:line="360" w:lineRule="exact"/>
              <w:rPr>
                <w:rFonts w:ascii="宋体" w:hAnsi="宋体" w:cs="宋体"/>
                <w:bCs/>
                <w:color w:val="000000"/>
                <w:kern w:val="0"/>
                <w:sz w:val="24"/>
                <w:lang w:bidi="ar"/>
              </w:rPr>
            </w:pPr>
          </w:p>
        </w:tc>
        <w:tc>
          <w:tcPr>
            <w:tcW w:w="1041" w:type="dxa"/>
            <w:vAlign w:val="center"/>
          </w:tcPr>
          <w:p w14:paraId="2AE5F9CF">
            <w:pPr>
              <w:spacing w:line="360" w:lineRule="exact"/>
              <w:jc w:val="center"/>
              <w:rPr>
                <w:rFonts w:ascii="宋体" w:hAnsi="宋体" w:cs="宋体"/>
                <w:bCs/>
                <w:color w:val="000000"/>
                <w:kern w:val="0"/>
                <w:sz w:val="24"/>
                <w:lang w:bidi="ar"/>
              </w:rPr>
            </w:pPr>
          </w:p>
        </w:tc>
        <w:tc>
          <w:tcPr>
            <w:tcW w:w="779" w:type="dxa"/>
            <w:vAlign w:val="center"/>
          </w:tcPr>
          <w:p w14:paraId="4C5F867F">
            <w:pPr>
              <w:spacing w:line="360" w:lineRule="exact"/>
              <w:jc w:val="center"/>
              <w:rPr>
                <w:rFonts w:ascii="宋体" w:hAnsi="宋体" w:cs="宋体"/>
                <w:bCs/>
                <w:color w:val="000000"/>
                <w:kern w:val="0"/>
                <w:sz w:val="24"/>
                <w:lang w:bidi="ar"/>
              </w:rPr>
            </w:pPr>
          </w:p>
        </w:tc>
      </w:tr>
      <w:tr w14:paraId="12D0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12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80B940A">
            <w:pPr>
              <w:widowControl/>
              <w:rPr>
                <w:rFonts w:ascii="宋体" w:hAnsi="宋体" w:eastAsia="宋体" w:cs="宋体"/>
                <w:color w:val="000000"/>
                <w:sz w:val="24"/>
                <w:szCs w:val="22"/>
              </w:rPr>
            </w:pPr>
          </w:p>
        </w:tc>
        <w:tc>
          <w:tcPr>
            <w:tcW w:w="5371" w:type="dxa"/>
            <w:vAlign w:val="center"/>
          </w:tcPr>
          <w:p w14:paraId="0D0BA209">
            <w:pPr>
              <w:widowControl/>
              <w:rPr>
                <w:rFonts w:ascii="宋体" w:hAnsi="宋体" w:eastAsia="宋体" w:cs="宋体"/>
                <w:color w:val="000000"/>
                <w:sz w:val="24"/>
                <w:szCs w:val="22"/>
                <w:highlight w:val="green"/>
              </w:rPr>
            </w:pPr>
          </w:p>
        </w:tc>
        <w:tc>
          <w:tcPr>
            <w:tcW w:w="4113" w:type="dxa"/>
            <w:vAlign w:val="center"/>
          </w:tcPr>
          <w:p w14:paraId="02E7C0FD">
            <w:pPr>
              <w:spacing w:line="360" w:lineRule="exact"/>
              <w:rPr>
                <w:rFonts w:ascii="宋体" w:hAnsi="宋体" w:cs="宋体"/>
                <w:bCs/>
                <w:color w:val="000000"/>
                <w:kern w:val="0"/>
                <w:sz w:val="24"/>
                <w:lang w:bidi="ar"/>
              </w:rPr>
            </w:pPr>
          </w:p>
        </w:tc>
        <w:tc>
          <w:tcPr>
            <w:tcW w:w="1041" w:type="dxa"/>
            <w:vAlign w:val="center"/>
          </w:tcPr>
          <w:p w14:paraId="76897D05">
            <w:pPr>
              <w:spacing w:line="360" w:lineRule="exact"/>
              <w:jc w:val="center"/>
              <w:rPr>
                <w:rFonts w:ascii="宋体" w:hAnsi="宋体" w:cs="宋体"/>
                <w:bCs/>
                <w:color w:val="000000"/>
                <w:kern w:val="0"/>
                <w:sz w:val="24"/>
                <w:lang w:bidi="ar"/>
              </w:rPr>
            </w:pPr>
          </w:p>
        </w:tc>
        <w:tc>
          <w:tcPr>
            <w:tcW w:w="779" w:type="dxa"/>
            <w:vAlign w:val="center"/>
          </w:tcPr>
          <w:p w14:paraId="20313756">
            <w:pPr>
              <w:spacing w:line="360" w:lineRule="exact"/>
              <w:jc w:val="center"/>
              <w:rPr>
                <w:rFonts w:ascii="宋体" w:hAnsi="宋体" w:cs="宋体"/>
                <w:bCs/>
                <w:color w:val="000000"/>
                <w:kern w:val="0"/>
                <w:sz w:val="24"/>
                <w:lang w:bidi="ar"/>
              </w:rPr>
            </w:pPr>
          </w:p>
        </w:tc>
      </w:tr>
      <w:tr w14:paraId="1355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314F843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68EDD83">
            <w:pPr>
              <w:widowControl/>
              <w:rPr>
                <w:rFonts w:ascii="宋体" w:hAnsi="宋体" w:eastAsia="宋体" w:cs="宋体"/>
                <w:color w:val="000000"/>
                <w:sz w:val="24"/>
                <w:szCs w:val="22"/>
              </w:rPr>
            </w:pPr>
          </w:p>
        </w:tc>
        <w:tc>
          <w:tcPr>
            <w:tcW w:w="5371" w:type="dxa"/>
            <w:vAlign w:val="center"/>
          </w:tcPr>
          <w:p w14:paraId="74B78896">
            <w:pPr>
              <w:widowControl/>
              <w:rPr>
                <w:rFonts w:ascii="宋体" w:hAnsi="宋体" w:eastAsia="宋体" w:cs="宋体"/>
                <w:color w:val="000000"/>
                <w:sz w:val="24"/>
                <w:szCs w:val="22"/>
                <w:highlight w:val="green"/>
              </w:rPr>
            </w:pPr>
          </w:p>
        </w:tc>
        <w:tc>
          <w:tcPr>
            <w:tcW w:w="4113" w:type="dxa"/>
            <w:vAlign w:val="center"/>
          </w:tcPr>
          <w:p w14:paraId="11911315">
            <w:pPr>
              <w:spacing w:line="360" w:lineRule="exact"/>
              <w:rPr>
                <w:rFonts w:ascii="宋体" w:hAnsi="宋体" w:cs="宋体"/>
                <w:bCs/>
                <w:color w:val="000000"/>
                <w:kern w:val="0"/>
                <w:sz w:val="24"/>
                <w:lang w:bidi="ar"/>
              </w:rPr>
            </w:pPr>
          </w:p>
        </w:tc>
        <w:tc>
          <w:tcPr>
            <w:tcW w:w="1041" w:type="dxa"/>
            <w:vAlign w:val="center"/>
          </w:tcPr>
          <w:p w14:paraId="2B997F2F">
            <w:pPr>
              <w:spacing w:line="360" w:lineRule="exact"/>
              <w:jc w:val="center"/>
              <w:rPr>
                <w:rFonts w:ascii="宋体" w:hAnsi="宋体" w:cs="宋体"/>
                <w:bCs/>
                <w:color w:val="000000"/>
                <w:kern w:val="0"/>
                <w:sz w:val="24"/>
                <w:lang w:bidi="ar"/>
              </w:rPr>
            </w:pPr>
          </w:p>
        </w:tc>
        <w:tc>
          <w:tcPr>
            <w:tcW w:w="779" w:type="dxa"/>
            <w:vAlign w:val="center"/>
          </w:tcPr>
          <w:p w14:paraId="3E58B5FF">
            <w:pPr>
              <w:spacing w:line="360" w:lineRule="exact"/>
              <w:jc w:val="center"/>
              <w:rPr>
                <w:rFonts w:ascii="宋体" w:hAnsi="宋体" w:cs="宋体"/>
                <w:bCs/>
                <w:color w:val="000000"/>
                <w:kern w:val="0"/>
                <w:sz w:val="24"/>
                <w:lang w:bidi="ar"/>
              </w:rPr>
            </w:pPr>
          </w:p>
        </w:tc>
      </w:tr>
      <w:tr w14:paraId="19D4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E07DE18">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7932DF8D">
            <w:pPr>
              <w:widowControl/>
              <w:rPr>
                <w:rFonts w:ascii="宋体" w:hAnsi="宋体" w:eastAsia="宋体" w:cs="宋体"/>
                <w:color w:val="000000"/>
                <w:sz w:val="24"/>
                <w:szCs w:val="22"/>
              </w:rPr>
            </w:pPr>
          </w:p>
        </w:tc>
        <w:tc>
          <w:tcPr>
            <w:tcW w:w="5371" w:type="dxa"/>
            <w:vAlign w:val="center"/>
          </w:tcPr>
          <w:p w14:paraId="0EF12D15">
            <w:pPr>
              <w:widowControl/>
              <w:rPr>
                <w:rFonts w:ascii="宋体" w:hAnsi="宋体" w:eastAsia="宋体" w:cs="宋体"/>
                <w:color w:val="000000"/>
                <w:sz w:val="24"/>
                <w:szCs w:val="22"/>
                <w:highlight w:val="green"/>
              </w:rPr>
            </w:pPr>
          </w:p>
        </w:tc>
        <w:tc>
          <w:tcPr>
            <w:tcW w:w="4113" w:type="dxa"/>
            <w:vAlign w:val="center"/>
          </w:tcPr>
          <w:p w14:paraId="721169B0">
            <w:pPr>
              <w:spacing w:line="360" w:lineRule="exact"/>
              <w:rPr>
                <w:rFonts w:ascii="宋体" w:hAnsi="宋体" w:cs="宋体"/>
                <w:bCs/>
                <w:color w:val="000000"/>
                <w:kern w:val="0"/>
                <w:sz w:val="24"/>
                <w:lang w:bidi="ar"/>
              </w:rPr>
            </w:pPr>
          </w:p>
        </w:tc>
        <w:tc>
          <w:tcPr>
            <w:tcW w:w="1041" w:type="dxa"/>
            <w:vAlign w:val="center"/>
          </w:tcPr>
          <w:p w14:paraId="4EADDF2E">
            <w:pPr>
              <w:spacing w:line="360" w:lineRule="exact"/>
              <w:jc w:val="center"/>
              <w:rPr>
                <w:rFonts w:ascii="宋体" w:hAnsi="宋体" w:cs="宋体"/>
                <w:bCs/>
                <w:color w:val="000000"/>
                <w:kern w:val="0"/>
                <w:sz w:val="24"/>
                <w:lang w:bidi="ar"/>
              </w:rPr>
            </w:pPr>
          </w:p>
        </w:tc>
        <w:tc>
          <w:tcPr>
            <w:tcW w:w="779" w:type="dxa"/>
            <w:vAlign w:val="center"/>
          </w:tcPr>
          <w:p w14:paraId="774A4498">
            <w:pPr>
              <w:spacing w:line="360" w:lineRule="exact"/>
              <w:jc w:val="center"/>
              <w:rPr>
                <w:rFonts w:ascii="宋体" w:hAnsi="宋体" w:cs="宋体"/>
                <w:bCs/>
                <w:color w:val="000000"/>
                <w:kern w:val="0"/>
                <w:sz w:val="24"/>
                <w:lang w:bidi="ar"/>
              </w:rPr>
            </w:pPr>
          </w:p>
        </w:tc>
      </w:tr>
      <w:tr w14:paraId="3CF7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B1F662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AD8A15E">
            <w:pPr>
              <w:widowControl/>
              <w:rPr>
                <w:rFonts w:ascii="宋体" w:hAnsi="宋体" w:eastAsia="宋体" w:cs="宋体"/>
                <w:color w:val="000000"/>
                <w:sz w:val="24"/>
                <w:szCs w:val="22"/>
              </w:rPr>
            </w:pPr>
          </w:p>
        </w:tc>
        <w:tc>
          <w:tcPr>
            <w:tcW w:w="5371" w:type="dxa"/>
          </w:tcPr>
          <w:p w14:paraId="39F804B3">
            <w:pPr>
              <w:spacing w:line="380" w:lineRule="exact"/>
              <w:rPr>
                <w:rFonts w:ascii="宋体" w:hAnsi="宋体" w:eastAsia="宋体"/>
                <w:sz w:val="24"/>
              </w:rPr>
            </w:pPr>
          </w:p>
        </w:tc>
        <w:tc>
          <w:tcPr>
            <w:tcW w:w="4113" w:type="dxa"/>
            <w:vAlign w:val="center"/>
          </w:tcPr>
          <w:p w14:paraId="765E8190">
            <w:pPr>
              <w:spacing w:line="360" w:lineRule="exact"/>
              <w:rPr>
                <w:rFonts w:ascii="宋体" w:hAnsi="宋体" w:cs="宋体"/>
                <w:bCs/>
                <w:color w:val="000000"/>
                <w:kern w:val="0"/>
                <w:sz w:val="24"/>
                <w:lang w:bidi="ar"/>
              </w:rPr>
            </w:pPr>
          </w:p>
        </w:tc>
        <w:tc>
          <w:tcPr>
            <w:tcW w:w="1041" w:type="dxa"/>
            <w:vAlign w:val="center"/>
          </w:tcPr>
          <w:p w14:paraId="67D97970">
            <w:pPr>
              <w:spacing w:line="360" w:lineRule="exact"/>
              <w:jc w:val="center"/>
              <w:rPr>
                <w:rFonts w:ascii="宋体" w:hAnsi="宋体" w:cs="宋体"/>
                <w:bCs/>
                <w:color w:val="000000"/>
                <w:kern w:val="0"/>
                <w:sz w:val="24"/>
                <w:lang w:bidi="ar"/>
              </w:rPr>
            </w:pPr>
          </w:p>
        </w:tc>
        <w:tc>
          <w:tcPr>
            <w:tcW w:w="779" w:type="dxa"/>
            <w:vAlign w:val="center"/>
          </w:tcPr>
          <w:p w14:paraId="22F04FAF">
            <w:pPr>
              <w:spacing w:line="360" w:lineRule="exact"/>
              <w:jc w:val="center"/>
              <w:rPr>
                <w:rFonts w:ascii="宋体" w:hAnsi="宋体" w:cs="宋体"/>
                <w:bCs/>
                <w:color w:val="000000"/>
                <w:kern w:val="0"/>
                <w:sz w:val="24"/>
                <w:lang w:bidi="ar"/>
              </w:rPr>
            </w:pPr>
          </w:p>
        </w:tc>
      </w:tr>
    </w:tbl>
    <w:p w14:paraId="6F82819F">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457BE7D8">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F6517DE">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110240CC">
      <w:pPr>
        <w:spacing w:line="240" w:lineRule="atLeast"/>
        <w:jc w:val="left"/>
        <w:rPr>
          <w:rFonts w:ascii="方正小标宋简体" w:hAnsi="宋体" w:eastAsia="方正小标宋简体"/>
          <w:sz w:val="32"/>
        </w:rPr>
      </w:pPr>
    </w:p>
    <w:p w14:paraId="3266DE10">
      <w:pPr>
        <w:spacing w:line="240" w:lineRule="atLeast"/>
        <w:jc w:val="left"/>
        <w:rPr>
          <w:rFonts w:ascii="方正小标宋简体" w:hAnsi="宋体" w:eastAsia="方正小标宋简体"/>
          <w:sz w:val="32"/>
        </w:rPr>
      </w:pPr>
    </w:p>
    <w:p w14:paraId="776DD564">
      <w:pPr>
        <w:spacing w:line="240" w:lineRule="atLeast"/>
        <w:jc w:val="left"/>
        <w:rPr>
          <w:rFonts w:ascii="方正小标宋简体" w:hAnsi="宋体" w:eastAsia="方正小标宋简体"/>
          <w:sz w:val="32"/>
        </w:rPr>
      </w:pPr>
    </w:p>
    <w:p w14:paraId="777A97C7">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6BAD47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、法定代表人（单位负责人）身份证明或授权委托书</w:t>
      </w:r>
    </w:p>
    <w:p w14:paraId="33EA5F0B">
      <w:pPr>
        <w:ind w:firstLine="562"/>
        <w:jc w:val="center"/>
        <w:rPr>
          <w:rFonts w:ascii="宋体" w:hAnsi="宋体"/>
          <w:b/>
          <w:kern w:val="0"/>
          <w:sz w:val="28"/>
        </w:rPr>
      </w:pPr>
    </w:p>
    <w:p w14:paraId="6050948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A01EEAB">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72BC0D9">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E0A300F">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4D1AE8F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1C16132E">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30B24ADA">
      <w:pPr>
        <w:spacing w:line="460" w:lineRule="exact"/>
        <w:rPr>
          <w:rFonts w:ascii="宋体" w:hAnsi="宋体" w:eastAsia="宋体"/>
          <w:kern w:val="0"/>
          <w:sz w:val="24"/>
        </w:rPr>
      </w:pPr>
      <w:r>
        <w:rPr>
          <w:rFonts w:hint="eastAsia" w:ascii="宋体" w:hAnsi="宋体" w:eastAsia="宋体"/>
          <w:kern w:val="0"/>
          <w:sz w:val="24"/>
        </w:rPr>
        <w:t>附：</w:t>
      </w:r>
    </w:p>
    <w:p w14:paraId="32C41628">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3478A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821EBC9">
            <w:pPr>
              <w:pStyle w:val="12"/>
              <w:rPr>
                <w:sz w:val="32"/>
              </w:rPr>
            </w:pPr>
            <w:r>
              <w:rPr>
                <w:rFonts w:hint="eastAsia"/>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43C68FE">
                            <w:pPr>
                              <w:rPr>
                                <w:rFonts w:ascii="方正小标宋简体" w:eastAsia="方正小标宋简体"/>
                                <w:sz w:val="44"/>
                              </w:rPr>
                            </w:pPr>
                          </w:p>
                          <w:p w14:paraId="4F7CB39A">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1486528">
            <w:pPr>
              <w:pStyle w:val="12"/>
              <w:rPr>
                <w:sz w:val="32"/>
              </w:rPr>
            </w:pPr>
            <w:r>
              <w:rPr>
                <w:rFonts w:hint="eastAsia"/>
              </w:rPr>
              <w:t>身份证  背面</w:t>
            </w:r>
          </w:p>
        </w:tc>
      </w:tr>
    </w:tbl>
    <w:p w14:paraId="17C0C42F">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02EA5F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13F7EF2">
            <w:pPr>
              <w:pStyle w:val="12"/>
              <w:rPr>
                <w:sz w:val="32"/>
              </w:rPr>
            </w:pPr>
            <w:r>
              <w:rPr>
                <w:rFonts w:hint="eastAsia"/>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F289815">
            <w:pPr>
              <w:pStyle w:val="12"/>
              <w:rPr>
                <w:sz w:val="32"/>
              </w:rPr>
            </w:pPr>
            <w:r>
              <w:rPr>
                <w:rFonts w:hint="eastAsia"/>
              </w:rPr>
              <w:t>身份证  背面</w:t>
            </w:r>
          </w:p>
        </w:tc>
      </w:tr>
    </w:tbl>
    <w:p w14:paraId="1E5DBC25"/>
    <w:p w14:paraId="55A53D36">
      <w:pPr>
        <w:pStyle w:val="12"/>
        <w:sectPr>
          <w:pgSz w:w="11906" w:h="16838"/>
          <w:pgMar w:top="1531" w:right="1304" w:bottom="1418" w:left="1418" w:header="851" w:footer="992" w:gutter="0"/>
          <w:cols w:space="425" w:num="1"/>
          <w:docGrid w:linePitch="435" w:charSpace="0"/>
        </w:sectPr>
      </w:pPr>
    </w:p>
    <w:p w14:paraId="6206AB40">
      <w:pPr>
        <w:pStyle w:val="12"/>
      </w:pPr>
    </w:p>
    <w:p w14:paraId="26B6843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、无重大违法记录声明函</w:t>
      </w:r>
    </w:p>
    <w:p w14:paraId="6D40746C">
      <w:pPr>
        <w:tabs>
          <w:tab w:val="left" w:pos="5580"/>
        </w:tabs>
        <w:spacing w:line="360" w:lineRule="auto"/>
        <w:ind w:firstLine="420"/>
        <w:rPr>
          <w:rFonts w:ascii="Calibri" w:hAnsi="宋体" w:eastAsia="Calibri"/>
        </w:rPr>
      </w:pPr>
    </w:p>
    <w:p w14:paraId="75E14566">
      <w:pPr>
        <w:snapToGrid w:val="0"/>
        <w:spacing w:line="360" w:lineRule="auto"/>
        <w:rPr>
          <w:rFonts w:ascii="Calibri" w:hAnsi="宋体" w:eastAsia="Calibri"/>
          <w:sz w:val="24"/>
          <w:u w:val="single"/>
        </w:rPr>
      </w:pPr>
      <w:r>
        <w:rPr>
          <w:rFonts w:hint="eastAsia" w:ascii="微软雅黑" w:hAnsi="微软雅黑" w:eastAsia="微软雅黑" w:cs="微软雅黑"/>
          <w:sz w:val="24"/>
        </w:rPr>
        <w:t>致</w:t>
      </w:r>
      <w:r>
        <w:rPr>
          <w:rFonts w:ascii="Calibri" w:hAnsi="宋体" w:eastAsia="Calibri"/>
          <w:sz w:val="24"/>
        </w:rPr>
        <w:t>：</w:t>
      </w:r>
      <w:r>
        <w:rPr>
          <w:rFonts w:ascii="Calibri" w:hAnsi="宋体" w:eastAsia="Calibri"/>
          <w:sz w:val="24"/>
          <w:u w:val="single"/>
        </w:rPr>
        <w:t xml:space="preserve">    涡阳县人民医院        </w:t>
      </w:r>
    </w:p>
    <w:p w14:paraId="1F9E1A00">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CEC8F33">
      <w:pPr>
        <w:snapToGrid w:val="0"/>
        <w:spacing w:line="360" w:lineRule="auto"/>
        <w:ind w:firstLine="480"/>
        <w:rPr>
          <w:rFonts w:ascii="Calibri" w:hAnsi="宋体" w:eastAsia="Calibri"/>
          <w:sz w:val="24"/>
        </w:rPr>
      </w:pPr>
      <w:r>
        <w:rPr>
          <w:rFonts w:hint="eastAsia" w:ascii="微软雅黑" w:hAnsi="微软雅黑" w:eastAsia="微软雅黑" w:cs="微软雅黑"/>
          <w:sz w:val="24"/>
        </w:rPr>
        <w:t>本</w:t>
      </w:r>
      <w:r>
        <w:rPr>
          <w:rFonts w:ascii="Calibri" w:hAnsi="宋体" w:eastAsia="Calibri"/>
          <w:sz w:val="24"/>
        </w:rPr>
        <w:t>单位对上述声明的真实性负责。如有虚假，将依法承担相应责任。</w:t>
      </w:r>
    </w:p>
    <w:p w14:paraId="33608E13">
      <w:pPr>
        <w:ind w:firstLine="480"/>
        <w:rPr>
          <w:rFonts w:ascii="Calibri" w:hAnsi="宋体" w:eastAsia="Calibri"/>
          <w:sz w:val="24"/>
        </w:rPr>
      </w:pPr>
    </w:p>
    <w:p w14:paraId="227A6AFC">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DD06EA2">
      <w:pPr>
        <w:ind w:firstLine="480"/>
        <w:jc w:val="center"/>
        <w:rPr>
          <w:rFonts w:ascii="Calibri" w:hAnsi="宋体" w:eastAsia="Calibri"/>
          <w:sz w:val="24"/>
          <w:u w:val="single"/>
        </w:rPr>
      </w:pPr>
      <w:r>
        <w:rPr>
          <w:rFonts w:hint="eastAsia" w:ascii="微软雅黑" w:hAnsi="微软雅黑" w:eastAsia="微软雅黑" w:cs="微软雅黑"/>
          <w:sz w:val="24"/>
        </w:rPr>
        <w:t>日</w:t>
      </w:r>
      <w:r>
        <w:rPr>
          <w:rFonts w:ascii="Calibri" w:hAnsi="宋体" w:eastAsia="Calibri"/>
          <w:sz w:val="24"/>
        </w:rPr>
        <w:t xml:space="preserve">  期：</w:t>
      </w:r>
      <w:r>
        <w:rPr>
          <w:rFonts w:ascii="Calibri" w:hAnsi="宋体" w:eastAsia="Calibri"/>
          <w:sz w:val="24"/>
          <w:u w:val="single"/>
        </w:rPr>
        <w:t xml:space="preserve">                   </w:t>
      </w:r>
    </w:p>
    <w:p w14:paraId="5F532E23">
      <w:pPr>
        <w:spacing w:after="120" w:afterLines="50"/>
        <w:ind w:firstLine="422"/>
        <w:rPr>
          <w:rFonts w:ascii="仿宋" w:hAnsi="仿宋" w:eastAsia="仿宋"/>
          <w:b/>
        </w:rPr>
      </w:pPr>
    </w:p>
    <w:p w14:paraId="17CDD9D8"/>
    <w:p w14:paraId="0984D058">
      <w:pPr>
        <w:pStyle w:val="12"/>
      </w:pPr>
    </w:p>
    <w:p w14:paraId="05C6DCFA"/>
    <w:p w14:paraId="02B6C70C">
      <w:pPr>
        <w:spacing w:line="360" w:lineRule="exact"/>
        <w:ind w:firstLine="411" w:firstLineChars="196"/>
        <w:rPr>
          <w:rFonts w:ascii="宋体" w:hAnsi="宋体"/>
          <w:color w:val="000000"/>
        </w:rPr>
      </w:pPr>
    </w:p>
    <w:p w14:paraId="32743EAB">
      <w:pPr>
        <w:pStyle w:val="12"/>
      </w:pPr>
    </w:p>
    <w:p w14:paraId="12F2F97E"/>
    <w:p w14:paraId="5D149F55">
      <w:pPr>
        <w:pStyle w:val="12"/>
      </w:pPr>
    </w:p>
    <w:p w14:paraId="740808D1"/>
    <w:p w14:paraId="5F938C95">
      <w:pPr>
        <w:pStyle w:val="12"/>
      </w:pPr>
    </w:p>
    <w:p w14:paraId="0978EB39"/>
    <w:p w14:paraId="4B0B69CE">
      <w:pPr>
        <w:pStyle w:val="12"/>
      </w:pPr>
    </w:p>
    <w:p w14:paraId="5E34FA81"/>
    <w:p w14:paraId="55F6D659">
      <w:pPr>
        <w:pStyle w:val="12"/>
      </w:pPr>
    </w:p>
    <w:p w14:paraId="106D75DC"/>
    <w:p w14:paraId="1440181D">
      <w:pPr>
        <w:pStyle w:val="12"/>
      </w:pPr>
    </w:p>
    <w:p w14:paraId="42D3879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、资格证明文件</w:t>
      </w:r>
    </w:p>
    <w:p w14:paraId="61E09C64">
      <w:pPr>
        <w:ind w:firstLine="420"/>
        <w:jc w:val="center"/>
        <w:rPr>
          <w:rFonts w:ascii="宋体" w:hAnsi="宋体"/>
        </w:rPr>
      </w:pPr>
      <w:r>
        <w:rPr>
          <w:rFonts w:hint="eastAsia" w:ascii="宋体" w:hAnsi="宋体"/>
        </w:rPr>
        <w:t>（三证合一、特殊行业资质、人员资质等本项目要求必备的资质证明材料复印件）</w:t>
      </w:r>
    </w:p>
    <w:p w14:paraId="257E1F90">
      <w:pPr>
        <w:ind w:firstLine="420"/>
        <w:rPr>
          <w:rFonts w:ascii="宋体" w:hAnsi="宋体"/>
        </w:rPr>
      </w:pPr>
    </w:p>
    <w:p w14:paraId="6BEC1B43">
      <w:pPr>
        <w:pStyle w:val="12"/>
      </w:pPr>
    </w:p>
    <w:p w14:paraId="7D40999C"/>
    <w:p w14:paraId="41658510">
      <w:pPr>
        <w:pStyle w:val="12"/>
      </w:pPr>
    </w:p>
    <w:p w14:paraId="452F74F6"/>
    <w:p w14:paraId="320E56F8">
      <w:pPr>
        <w:pStyle w:val="12"/>
      </w:pPr>
    </w:p>
    <w:p w14:paraId="50460D6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、业绩证明材料</w:t>
      </w:r>
    </w:p>
    <w:p w14:paraId="75AE4F32">
      <w:pPr>
        <w:ind w:firstLine="420"/>
        <w:rPr>
          <w:rFonts w:ascii="宋体" w:hAnsi="宋体"/>
        </w:rPr>
      </w:pPr>
    </w:p>
    <w:p w14:paraId="7FEE93F4">
      <w:pPr>
        <w:pStyle w:val="12"/>
      </w:pPr>
    </w:p>
    <w:p w14:paraId="4FF5C0E8"/>
    <w:p w14:paraId="5D47EF8C">
      <w:pPr>
        <w:pStyle w:val="12"/>
      </w:pPr>
    </w:p>
    <w:p w14:paraId="4508F9AB"/>
    <w:p w14:paraId="7BD58EC4">
      <w:pPr>
        <w:ind w:firstLine="420"/>
        <w:rPr>
          <w:rFonts w:ascii="宋体" w:hAnsi="宋体"/>
        </w:rPr>
      </w:pPr>
    </w:p>
    <w:p w14:paraId="43E073D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九</w:t>
      </w:r>
      <w:r>
        <w:rPr>
          <w:rFonts w:hint="eastAsia" w:ascii="方正小标宋简体" w:hAnsi="宋体" w:eastAsia="方正小标宋简体"/>
          <w:sz w:val="32"/>
        </w:rPr>
        <w:t>、报价人认为应该提供的其他资料</w:t>
      </w:r>
    </w:p>
    <w:p w14:paraId="37316952">
      <w:pPr>
        <w:ind w:firstLine="420"/>
        <w:jc w:val="center"/>
        <w:rPr>
          <w:rFonts w:ascii="宋体" w:hAnsi="宋体"/>
        </w:rPr>
      </w:pPr>
      <w:r>
        <w:rPr>
          <w:rFonts w:hint="eastAsia" w:ascii="宋体" w:hAnsi="宋体"/>
        </w:rPr>
        <w:t>（格式自拟）</w:t>
      </w:r>
    </w:p>
    <w:p w14:paraId="3C5E6CA5"/>
    <w:p w14:paraId="5607CB65">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E6ED0"/>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21A49"/>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C4304"/>
    <w:rsid w:val="007D5BD5"/>
    <w:rsid w:val="007F719F"/>
    <w:rsid w:val="00805ABF"/>
    <w:rsid w:val="0082047D"/>
    <w:rsid w:val="00823488"/>
    <w:rsid w:val="008321FB"/>
    <w:rsid w:val="00834701"/>
    <w:rsid w:val="00840F2F"/>
    <w:rsid w:val="00847927"/>
    <w:rsid w:val="00860DFE"/>
    <w:rsid w:val="0087593A"/>
    <w:rsid w:val="008C636B"/>
    <w:rsid w:val="008D4ACB"/>
    <w:rsid w:val="009073E7"/>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38B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0015D"/>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057174"/>
    <w:rsid w:val="06D45173"/>
    <w:rsid w:val="083855E2"/>
    <w:rsid w:val="09906A6D"/>
    <w:rsid w:val="0F521582"/>
    <w:rsid w:val="104355C3"/>
    <w:rsid w:val="109151D3"/>
    <w:rsid w:val="12333415"/>
    <w:rsid w:val="12A17E73"/>
    <w:rsid w:val="13095B47"/>
    <w:rsid w:val="15761F97"/>
    <w:rsid w:val="16DC514E"/>
    <w:rsid w:val="1BB16CDE"/>
    <w:rsid w:val="1D461794"/>
    <w:rsid w:val="1DA81E22"/>
    <w:rsid w:val="1EB708D3"/>
    <w:rsid w:val="1F640A9F"/>
    <w:rsid w:val="204E4C4A"/>
    <w:rsid w:val="20AE24A9"/>
    <w:rsid w:val="21EA231A"/>
    <w:rsid w:val="21F0216C"/>
    <w:rsid w:val="238D5045"/>
    <w:rsid w:val="23CA7FFF"/>
    <w:rsid w:val="24045AE0"/>
    <w:rsid w:val="285F540B"/>
    <w:rsid w:val="291507CC"/>
    <w:rsid w:val="2A10554F"/>
    <w:rsid w:val="2ACB0237"/>
    <w:rsid w:val="2B6C1E17"/>
    <w:rsid w:val="2B97636B"/>
    <w:rsid w:val="2BB75A33"/>
    <w:rsid w:val="2CAA14D5"/>
    <w:rsid w:val="31070DAE"/>
    <w:rsid w:val="32433C69"/>
    <w:rsid w:val="32E427DE"/>
    <w:rsid w:val="33DB43DD"/>
    <w:rsid w:val="34205016"/>
    <w:rsid w:val="347445FE"/>
    <w:rsid w:val="36A743DD"/>
    <w:rsid w:val="39BE01A8"/>
    <w:rsid w:val="3C9A7D47"/>
    <w:rsid w:val="3DA97B7A"/>
    <w:rsid w:val="43B15138"/>
    <w:rsid w:val="453F3B2A"/>
    <w:rsid w:val="46E46CF4"/>
    <w:rsid w:val="499C2410"/>
    <w:rsid w:val="4A5B6F1C"/>
    <w:rsid w:val="52391786"/>
    <w:rsid w:val="529B1C2A"/>
    <w:rsid w:val="52BC6534"/>
    <w:rsid w:val="5A703793"/>
    <w:rsid w:val="5C0C7E11"/>
    <w:rsid w:val="5FA03CAB"/>
    <w:rsid w:val="62D7176F"/>
    <w:rsid w:val="62DC6FF8"/>
    <w:rsid w:val="63430101"/>
    <w:rsid w:val="67C113D5"/>
    <w:rsid w:val="69915242"/>
    <w:rsid w:val="6A1E213E"/>
    <w:rsid w:val="6C125B39"/>
    <w:rsid w:val="6C7D312C"/>
    <w:rsid w:val="6F4A3F0E"/>
    <w:rsid w:val="71F238C8"/>
    <w:rsid w:val="72783DCD"/>
    <w:rsid w:val="747C0EE6"/>
    <w:rsid w:val="79E93CF9"/>
    <w:rsid w:val="7BA1320A"/>
    <w:rsid w:val="7D7643AB"/>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15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8"/>
    <w:unhideWhenUsed/>
    <w:qFormat/>
    <w:uiPriority w:val="9"/>
    <w:pPr>
      <w:keepNext/>
      <w:keepLines/>
      <w:spacing w:before="260" w:after="260" w:line="416" w:lineRule="auto"/>
      <w:outlineLvl w:val="1"/>
    </w:pPr>
    <w:rPr>
      <w:rFonts w:ascii="Cambria" w:hAnsi="Cambria" w:eastAsia="宋体"/>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6">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ind w:firstLine="402"/>
      <w:jc w:val="center"/>
    </w:pPr>
    <w:rPr>
      <w:rFonts w:ascii="Calibri" w:hAnsi="Calibri" w:eastAsia="宋体"/>
      <w:b/>
      <w:caps/>
      <w:sz w:val="44"/>
      <w:szCs w:val="36"/>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3"/>
    <w:qFormat/>
    <w:uiPriority w:val="9"/>
    <w:rPr>
      <w:rFonts w:ascii="宋体" w:hAnsi="宋体" w:eastAsia="宋体" w:cs="宋体"/>
      <w:b/>
      <w:bCs/>
      <w:kern w:val="36"/>
      <w:sz w:val="48"/>
      <w:szCs w:val="48"/>
    </w:rPr>
  </w:style>
  <w:style w:type="character" w:customStyle="1" w:styleId="18">
    <w:name w:val="标题 2 字符"/>
    <w:link w:val="4"/>
    <w:semiHidden/>
    <w:qFormat/>
    <w:uiPriority w:val="9"/>
    <w:rPr>
      <w:rFonts w:ascii="Cambria" w:hAnsi="Cambria" w:eastAsia="宋体" w:cs="Times New Roman"/>
      <w:b/>
      <w:bCs/>
      <w:kern w:val="2"/>
      <w:sz w:val="32"/>
      <w:szCs w:val="32"/>
    </w:rPr>
  </w:style>
  <w:style w:type="character" w:customStyle="1" w:styleId="19">
    <w:name w:val="标题 3 字符"/>
    <w:link w:val="5"/>
    <w:qFormat/>
    <w:uiPriority w:val="9"/>
    <w:rPr>
      <w:rFonts w:ascii="等线" w:eastAsia="等线"/>
      <w:b/>
      <w:bCs/>
      <w:kern w:val="2"/>
      <w:sz w:val="32"/>
      <w:szCs w:val="32"/>
    </w:rPr>
  </w:style>
  <w:style w:type="character" w:customStyle="1" w:styleId="20">
    <w:name w:val="正文文本 字符"/>
    <w:link w:val="7"/>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qFormat/>
    <w:uiPriority w:val="0"/>
    <w:rPr>
      <w:rFonts w:ascii="Calibri" w:hAnsi="Calibri" w:cs="Calibri"/>
      <w:color w:val="000000"/>
      <w:sz w:val="21"/>
      <w:szCs w:val="21"/>
      <w:u w:val="none"/>
    </w:rPr>
  </w:style>
  <w:style w:type="character" w:customStyle="1" w:styleId="28">
    <w:name w:val="font31"/>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修订1"/>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18</Pages>
  <Words>7427</Words>
  <Characters>7848</Characters>
  <Lines>48</Lines>
  <Paragraphs>13</Paragraphs>
  <TotalTime>38</TotalTime>
  <ScaleCrop>false</ScaleCrop>
  <LinksUpToDate>false</LinksUpToDate>
  <CharactersWithSpaces>8487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2024-11-13T01:43:43Z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CA7E246BA7B04C0389E31EE8D82D7ECE_13</vt:lpwstr>
  </property>
</Properties>
</file>